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p>
    <w:p>
      <w:pPr>
        <w:adjustRightInd/>
        <w:spacing w:line="580" w:lineRule="exact"/>
        <w:jc w:val="center"/>
        <w:rPr>
          <w:rFonts w:hint="eastAsia" w:eastAsia="方正小标宋_GBK" w:cs="方正小标宋_GBK"/>
          <w:bCs/>
          <w:color w:val="000000"/>
          <w:sz w:val="44"/>
          <w:szCs w:val="24"/>
        </w:rPr>
      </w:pPr>
      <w:r>
        <w:rPr>
          <w:rFonts w:hint="eastAsia" w:eastAsia="方正小标宋_GBK" w:cs="方正小标宋_GBK"/>
          <w:bCs/>
          <w:color w:val="000000"/>
          <w:sz w:val="44"/>
          <w:szCs w:val="24"/>
        </w:rPr>
        <w:t>重庆市人民政府办公厅</w:t>
      </w:r>
    </w:p>
    <w:p>
      <w:pPr>
        <w:adjustRightInd/>
        <w:spacing w:line="580" w:lineRule="exact"/>
        <w:jc w:val="center"/>
        <w:rPr>
          <w:rFonts w:hint="eastAsia" w:eastAsia="方正小标宋_GBK" w:cs="方正小标宋_GBK"/>
          <w:bCs/>
          <w:color w:val="000000"/>
          <w:sz w:val="44"/>
          <w:szCs w:val="24"/>
        </w:rPr>
      </w:pPr>
      <w:r>
        <w:rPr>
          <w:rFonts w:hint="eastAsia" w:eastAsia="方正小标宋_GBK" w:cs="方正小标宋_GBK"/>
          <w:bCs/>
          <w:color w:val="000000"/>
          <w:sz w:val="44"/>
          <w:szCs w:val="24"/>
        </w:rPr>
        <w:t>关于印发重庆市能源发展“十四五”规划</w:t>
      </w:r>
    </w:p>
    <w:p>
      <w:pPr>
        <w:adjustRightInd/>
        <w:spacing w:line="580" w:lineRule="exact"/>
        <w:jc w:val="center"/>
        <w:rPr>
          <w:rFonts w:hint="eastAsia" w:eastAsia="方正小标宋_GBK" w:cs="方正小标宋_GBK"/>
          <w:bCs/>
          <w:color w:val="000000"/>
          <w:sz w:val="44"/>
          <w:szCs w:val="24"/>
        </w:rPr>
      </w:pPr>
      <w:r>
        <w:rPr>
          <w:rFonts w:hint="eastAsia" w:eastAsia="方正小标宋_GBK"/>
          <w:sz w:val="44"/>
          <w:szCs w:val="44"/>
        </w:rPr>
        <w:t>（2021—2025年）</w:t>
      </w:r>
      <w:r>
        <w:rPr>
          <w:rFonts w:hint="eastAsia" w:eastAsia="方正小标宋_GBK" w:cs="方正小标宋_GBK"/>
          <w:bCs/>
          <w:color w:val="000000"/>
          <w:sz w:val="44"/>
          <w:szCs w:val="24"/>
        </w:rPr>
        <w:t>的通知</w:t>
      </w:r>
    </w:p>
    <w:p>
      <w:pPr>
        <w:adjustRightInd/>
        <w:spacing w:line="240" w:lineRule="auto"/>
        <w:jc w:val="center"/>
        <w:rPr>
          <w:rFonts w:eastAsia="宋体"/>
          <w:color w:val="000000"/>
        </w:rPr>
      </w:pPr>
      <w:r>
        <w:rPr>
          <w:rFonts w:hint="eastAsia" w:eastAsia="宋体"/>
          <w:color w:val="000000"/>
        </w:rPr>
        <w:t>渝府办发〔2022〕48号</w:t>
      </w:r>
    </w:p>
    <w:p>
      <w:pPr>
        <w:adjustRightInd/>
        <w:spacing w:line="240" w:lineRule="auto"/>
        <w:jc w:val="center"/>
        <w:rPr>
          <w:rFonts w:hint="eastAsia" w:eastAsia="宋体"/>
          <w:color w:val="000000"/>
        </w:rPr>
      </w:pPr>
    </w:p>
    <w:p>
      <w:pPr>
        <w:overflowPunct w:val="0"/>
        <w:autoSpaceDE w:val="0"/>
        <w:autoSpaceDN w:val="0"/>
        <w:adjustRightInd/>
        <w:spacing w:line="240" w:lineRule="auto"/>
        <w:textAlignment w:val="auto"/>
        <w:rPr>
          <w:rFonts w:cs="方正仿宋_GBK"/>
          <w:color w:val="000000"/>
        </w:rPr>
      </w:pPr>
      <w:r>
        <w:rPr>
          <w:rFonts w:hint="eastAsia" w:cs="方正仿宋_GBK"/>
          <w:color w:val="000000"/>
        </w:rPr>
        <w:t>各区县（自治县）人民政府，市政府有关部门：</w:t>
      </w:r>
    </w:p>
    <w:p>
      <w:pPr>
        <w:overflowPunct w:val="0"/>
        <w:autoSpaceDE w:val="0"/>
        <w:autoSpaceDN w:val="0"/>
        <w:adjustRightInd/>
        <w:spacing w:line="240" w:lineRule="auto"/>
        <w:ind w:firstLine="632" w:firstLineChars="200"/>
        <w:textAlignment w:val="auto"/>
        <w:rPr>
          <w:rFonts w:hint="eastAsia" w:cs="方正仿宋_GBK"/>
          <w:color w:val="000000"/>
        </w:rPr>
      </w:pPr>
      <w:r>
        <w:rPr>
          <w:rFonts w:hint="eastAsia" w:cs="方正仿宋_GBK"/>
          <w:color w:val="000000"/>
        </w:rPr>
        <w:t>《重庆市能源发展“十四五”规划</w:t>
      </w:r>
      <w:r>
        <w:rPr>
          <w:rFonts w:hint="eastAsia"/>
        </w:rPr>
        <w:t>（2021—2025年）</w:t>
      </w:r>
      <w:r>
        <w:rPr>
          <w:rFonts w:hint="eastAsia" w:cs="方正仿宋_GBK"/>
          <w:color w:val="000000"/>
        </w:rPr>
        <w:t>》</w:t>
      </w:r>
      <w:r>
        <w:rPr>
          <w:rFonts w:hint="eastAsia"/>
        </w:rPr>
        <w:t>已经市政府同意，现印发给你们，请认真贯彻执行。</w:t>
      </w:r>
    </w:p>
    <w:p>
      <w:pPr>
        <w:pStyle w:val="2"/>
        <w:rPr>
          <w:rFonts w:hint="eastAsia" w:cs="方正仿宋_GBK"/>
        </w:rPr>
      </w:pPr>
    </w:p>
    <w:p>
      <w:pPr>
        <w:rPr>
          <w:rFonts w:hint="eastAsia" w:cs="方正仿宋_GBK"/>
          <w:color w:val="000000"/>
        </w:rPr>
      </w:pPr>
    </w:p>
    <w:p>
      <w:pPr>
        <w:overflowPunct w:val="0"/>
        <w:adjustRightInd/>
        <w:spacing w:line="240" w:lineRule="auto"/>
        <w:ind w:firstLine="4822" w:firstLineChars="1526"/>
        <w:rPr>
          <w:rFonts w:hint="eastAsia"/>
          <w:color w:val="000000"/>
        </w:rPr>
      </w:pPr>
      <w:r>
        <w:rPr>
          <w:rFonts w:hint="eastAsia"/>
          <w:color w:val="000000"/>
        </w:rPr>
        <w:t>重庆市人民政府办公厅</w:t>
      </w:r>
    </w:p>
    <w:p>
      <w:pPr>
        <w:wordWrap w:val="0"/>
        <w:overflowPunct w:val="0"/>
        <w:adjustRightInd/>
        <w:spacing w:line="240" w:lineRule="auto"/>
        <w:ind w:firstLine="632" w:firstLineChars="200"/>
        <w:jc w:val="right"/>
        <w:rPr>
          <w:color w:val="000000"/>
        </w:rPr>
      </w:pPr>
      <w:r>
        <w:rPr>
          <w:rFonts w:hint="eastAsia"/>
          <w:color w:val="000000"/>
        </w:rPr>
        <w:t>2022年</w:t>
      </w:r>
      <w:r>
        <w:rPr>
          <w:rFonts w:hint="eastAsia"/>
          <w:color w:val="000000"/>
          <w:lang w:val="en-US" w:eastAsia="zh-CN"/>
        </w:rPr>
        <w:t>6</w:t>
      </w:r>
      <w:r>
        <w:rPr>
          <w:rFonts w:hint="eastAsia"/>
          <w:color w:val="000000"/>
        </w:rPr>
        <w:t>月</w:t>
      </w:r>
      <w:r>
        <w:rPr>
          <w:rFonts w:hint="eastAsia"/>
          <w:color w:val="000000"/>
          <w:lang w:val="en-US" w:eastAsia="zh-CN"/>
        </w:rPr>
        <w:t>11</w:t>
      </w:r>
      <w:bookmarkStart w:id="0" w:name="_GoBack"/>
      <w:bookmarkEnd w:id="0"/>
      <w:r>
        <w:rPr>
          <w:rFonts w:hint="eastAsia"/>
          <w:color w:val="000000"/>
        </w:rPr>
        <w:t xml:space="preserve">日        </w:t>
      </w:r>
    </w:p>
    <w:p>
      <w:pPr>
        <w:rPr>
          <w:color w:val="000000"/>
        </w:rPr>
      </w:pPr>
    </w:p>
    <w:p>
      <w:pPr>
        <w:rPr>
          <w:rFonts w:hint="eastAsia" w:eastAsia="方正黑体_GBK"/>
        </w:rPr>
      </w:pPr>
    </w:p>
    <w:p>
      <w:pPr>
        <w:rPr>
          <w:rFonts w:hint="eastAsia" w:eastAsia="方正黑体_GBK"/>
        </w:rPr>
      </w:pPr>
    </w:p>
    <w:p>
      <w:pPr>
        <w:rPr>
          <w:rFonts w:hint="eastAsia"/>
        </w:rPr>
      </w:pPr>
    </w:p>
    <w:p>
      <w:pPr>
        <w:rPr>
          <w:rFonts w:hint="eastAsia"/>
        </w:rPr>
      </w:pPr>
    </w:p>
    <w:p>
      <w:pPr>
        <w:spacing w:line="720" w:lineRule="exact"/>
        <w:rPr>
          <w:rFonts w:hint="eastAsia"/>
        </w:rPr>
      </w:pPr>
    </w:p>
    <w:p>
      <w:pPr>
        <w:rPr>
          <w:rFonts w:hint="eastAsia"/>
        </w:rPr>
      </w:pPr>
    </w:p>
    <w:p>
      <w:pPr>
        <w:rPr>
          <w:rFonts w:hint="eastAsia"/>
        </w:rPr>
      </w:pPr>
    </w:p>
    <w:p>
      <w:pPr>
        <w:spacing w:line="590" w:lineRule="exact"/>
        <w:jc w:val="center"/>
        <w:rPr>
          <w:rFonts w:hint="eastAsia" w:eastAsia="方正小标宋_GBK"/>
          <w:sz w:val="44"/>
          <w:szCs w:val="44"/>
        </w:rPr>
      </w:pPr>
      <w:r>
        <w:rPr>
          <w:rFonts w:hint="eastAsia" w:eastAsia="方正小标宋_GBK"/>
          <w:sz w:val="44"/>
          <w:szCs w:val="44"/>
        </w:rPr>
        <w:t>重庆市能源发展“十四五”规划</w:t>
      </w:r>
    </w:p>
    <w:p>
      <w:pPr>
        <w:spacing w:line="590" w:lineRule="exact"/>
        <w:jc w:val="center"/>
        <w:rPr>
          <w:rFonts w:hint="eastAsia"/>
        </w:rPr>
      </w:pPr>
      <w:r>
        <w:rPr>
          <w:rFonts w:hint="eastAsia"/>
        </w:rPr>
        <w:t>（2021—2025年）</w:t>
      </w:r>
    </w:p>
    <w:p>
      <w:pPr>
        <w:spacing w:line="590" w:lineRule="exact"/>
        <w:jc w:val="center"/>
        <w:rPr>
          <w:rFonts w:hint="eastAsia" w:ascii="方正楷体_GBK" w:hAnsi="方正楷体_GBK" w:eastAsia="方正楷体_GBK" w:cs="方正楷体_GBK"/>
        </w:rPr>
      </w:pPr>
    </w:p>
    <w:p>
      <w:pPr>
        <w:spacing w:line="590" w:lineRule="exact"/>
        <w:jc w:val="center"/>
        <w:rPr>
          <w:rFonts w:hint="eastAsia"/>
        </w:rPr>
      </w:pPr>
    </w:p>
    <w:p>
      <w:pPr>
        <w:spacing w:line="590" w:lineRule="exact"/>
        <w:jc w:val="center"/>
        <w:rPr>
          <w:rFonts w:hint="eastAsia"/>
        </w:rPr>
      </w:pPr>
    </w:p>
    <w:p>
      <w:pPr>
        <w:spacing w:line="590" w:lineRule="exact"/>
        <w:jc w:val="center"/>
        <w:rPr>
          <w:rFonts w:hint="eastAsia"/>
        </w:rPr>
      </w:pPr>
    </w:p>
    <w:p>
      <w:pPr>
        <w:spacing w:line="590" w:lineRule="exact"/>
        <w:jc w:val="center"/>
        <w:rPr>
          <w:rFonts w:hint="eastAsia"/>
        </w:rPr>
      </w:pPr>
    </w:p>
    <w:p>
      <w:pPr>
        <w:spacing w:line="590" w:lineRule="exact"/>
        <w:jc w:val="center"/>
        <w:rPr>
          <w:rFonts w:hint="eastAsia"/>
        </w:rPr>
      </w:pPr>
    </w:p>
    <w:p>
      <w:pPr>
        <w:spacing w:line="590" w:lineRule="exact"/>
        <w:jc w:val="center"/>
        <w:rPr>
          <w:rFonts w:hint="eastAsia"/>
        </w:rPr>
      </w:pPr>
    </w:p>
    <w:p>
      <w:pPr>
        <w:spacing w:line="590" w:lineRule="exact"/>
        <w:jc w:val="center"/>
        <w:rPr>
          <w:rFonts w:hint="eastAsia"/>
        </w:rPr>
      </w:pPr>
    </w:p>
    <w:p>
      <w:pPr>
        <w:spacing w:line="590" w:lineRule="exact"/>
        <w:jc w:val="center"/>
        <w:rPr>
          <w:rFonts w:hint="eastAsia"/>
        </w:rPr>
      </w:pPr>
    </w:p>
    <w:p>
      <w:pPr>
        <w:spacing w:line="590" w:lineRule="exact"/>
        <w:jc w:val="center"/>
        <w:rPr>
          <w:rFonts w:hint="eastAsia"/>
        </w:rPr>
      </w:pPr>
    </w:p>
    <w:p>
      <w:pPr>
        <w:spacing w:line="590" w:lineRule="exact"/>
        <w:jc w:val="center"/>
        <w:rPr>
          <w:rFonts w:hint="eastAsia"/>
        </w:rPr>
      </w:pPr>
    </w:p>
    <w:p>
      <w:pPr>
        <w:spacing w:line="590" w:lineRule="exact"/>
        <w:jc w:val="center"/>
        <w:rPr>
          <w:rFonts w:hint="eastAsia"/>
        </w:rPr>
      </w:pPr>
    </w:p>
    <w:p>
      <w:pPr>
        <w:spacing w:line="590" w:lineRule="exact"/>
        <w:jc w:val="center"/>
        <w:rPr>
          <w:rFonts w:hint="eastAsia"/>
        </w:rPr>
      </w:pPr>
    </w:p>
    <w:p>
      <w:pPr>
        <w:spacing w:line="590" w:lineRule="exact"/>
        <w:jc w:val="center"/>
        <w:rPr>
          <w:rFonts w:hint="eastAsia"/>
        </w:rPr>
      </w:pPr>
    </w:p>
    <w:p>
      <w:pPr>
        <w:spacing w:line="590" w:lineRule="exact"/>
        <w:jc w:val="center"/>
        <w:rPr>
          <w:rFonts w:hint="eastAsia"/>
        </w:rPr>
      </w:pPr>
    </w:p>
    <w:p>
      <w:pPr>
        <w:spacing w:line="590" w:lineRule="exact"/>
        <w:jc w:val="center"/>
        <w:rPr>
          <w:rFonts w:hint="eastAsia"/>
        </w:rPr>
      </w:pPr>
    </w:p>
    <w:p>
      <w:pPr>
        <w:spacing w:line="590" w:lineRule="exact"/>
        <w:jc w:val="center"/>
        <w:rPr>
          <w:rFonts w:hint="eastAsia"/>
        </w:rPr>
      </w:pPr>
    </w:p>
    <w:p>
      <w:pPr>
        <w:spacing w:line="590" w:lineRule="exact"/>
        <w:jc w:val="center"/>
        <w:rPr>
          <w:rFonts w:hint="eastAsia"/>
        </w:rPr>
      </w:pPr>
    </w:p>
    <w:p>
      <w:pPr>
        <w:spacing w:line="590" w:lineRule="exact"/>
        <w:jc w:val="center"/>
        <w:rPr>
          <w:rFonts w:hint="eastAsia"/>
        </w:rPr>
      </w:pPr>
    </w:p>
    <w:p>
      <w:pPr>
        <w:adjustRightInd/>
        <w:spacing w:line="240" w:lineRule="auto"/>
        <w:ind w:firstLine="632" w:firstLineChars="200"/>
        <w:textAlignment w:val="auto"/>
        <w:rPr>
          <w:rFonts w:hint="eastAsia"/>
        </w:rPr>
      </w:pPr>
      <w:r>
        <w:rPr>
          <w:rFonts w:hint="eastAsia"/>
        </w:rPr>
        <w:t>为贯彻落实习近平总书记提出的“四个革命、一个合作”能源安全新战略，加快构建清洁低碳、安全高效的现代能源体系，提高能源供给保障能力，根据国家发展改革委、国家能源局《“十四五”现代能源体系规划》和《重庆市国民经济和社会发展第十四个五年规划和二○三五年远景目标纲要》，制定本规划。规划期为2021—2025年，展望至2035年。</w:t>
      </w:r>
    </w:p>
    <w:p>
      <w:pPr>
        <w:adjustRightInd/>
        <w:spacing w:line="240" w:lineRule="auto"/>
        <w:ind w:firstLine="632" w:firstLineChars="200"/>
        <w:textAlignment w:val="auto"/>
        <w:rPr>
          <w:rFonts w:hint="eastAsia" w:eastAsia="方正黑体_GBK"/>
        </w:rPr>
      </w:pPr>
      <w:r>
        <w:rPr>
          <w:rFonts w:hint="eastAsia" w:eastAsia="方正黑体_GBK"/>
        </w:rPr>
        <w:t>一、发展基础</w:t>
      </w:r>
    </w:p>
    <w:p>
      <w:pPr>
        <w:adjustRightInd/>
        <w:spacing w:line="240" w:lineRule="auto"/>
        <w:ind w:firstLine="632" w:firstLineChars="200"/>
        <w:textAlignment w:val="auto"/>
        <w:rPr>
          <w:rFonts w:hint="eastAsia" w:eastAsia="方正楷体_GBK"/>
        </w:rPr>
      </w:pPr>
      <w:r>
        <w:rPr>
          <w:rFonts w:hint="eastAsia" w:eastAsia="方正楷体_GBK"/>
        </w:rPr>
        <w:t>（一）能源低碳转型成效显著。</w:t>
      </w:r>
    </w:p>
    <w:p>
      <w:pPr>
        <w:adjustRightInd/>
        <w:spacing w:line="240" w:lineRule="auto"/>
        <w:ind w:firstLine="632" w:firstLineChars="200"/>
        <w:textAlignment w:val="auto"/>
        <w:rPr>
          <w:rFonts w:hint="eastAsia"/>
        </w:rPr>
      </w:pPr>
      <w:r>
        <w:rPr>
          <w:rFonts w:hint="eastAsia"/>
        </w:rPr>
        <w:t>“</w:t>
      </w:r>
      <w:r>
        <w:rPr>
          <w:rFonts w:hint="eastAsia"/>
          <w:spacing w:val="-4"/>
        </w:rPr>
        <w:t>十三五”期间，全市煤炭、煤电去产能任务超额完成，退出煤矿407个、去产能4427万吨，完成国家下达目标任务的192.5%；</w:t>
      </w:r>
      <w:r>
        <w:rPr>
          <w:rFonts w:hint="eastAsia"/>
        </w:rPr>
        <w:t>淘汰低效落后煤电机组装机容量超过57万千瓦，全面</w:t>
      </w:r>
      <w:r>
        <w:rPr>
          <w:rFonts w:hint="eastAsia"/>
          <w:spacing w:val="-4"/>
        </w:rPr>
        <w:t>完成装机容量30万千瓦及以上煤电机组超低排放改造。能源消费</w:t>
      </w:r>
      <w:r>
        <w:rPr>
          <w:rFonts w:hint="eastAsia"/>
        </w:rPr>
        <w:t>总量和强度“双控”成绩突出，能源消费总量为8875万吨标准煤，单位GDP能耗累计下降19.4%，单位GDP二氧化碳排放量累计下降23%。能源消费结构加快优化，煤炭消费占比下降为44.3%，较全国平均水平低12.5个百分点；可再生能源在电力消费中占比达到51.4%，风光新能源发电量全额消纳；天然气车船利用规模扩大，</w:t>
      </w:r>
      <w:r>
        <w:rPr>
          <w:rFonts w:hint="eastAsia"/>
          <w:spacing w:val="-4"/>
        </w:rPr>
        <w:t>累计建成运营CNG加气站147座、LNG加注站16座、水上加注</w:t>
      </w:r>
      <w:r>
        <w:rPr>
          <w:rFonts w:hint="eastAsia"/>
        </w:rPr>
        <w:t>码头1个；成品油供应由国IV升级至国VI标准，有效减少机动车尾气污染物排放。</w:t>
      </w:r>
    </w:p>
    <w:p>
      <w:pPr>
        <w:adjustRightInd/>
        <w:spacing w:line="240" w:lineRule="auto"/>
        <w:ind w:firstLine="632" w:firstLineChars="200"/>
        <w:textAlignment w:val="auto"/>
        <w:rPr>
          <w:rFonts w:hint="eastAsia" w:eastAsia="方正楷体_GBK"/>
        </w:rPr>
      </w:pPr>
      <w:r>
        <w:rPr>
          <w:rFonts w:hint="eastAsia" w:eastAsia="方正楷体_GBK"/>
        </w:rPr>
        <w:t>（二）能源保障能力持续提升。</w:t>
      </w:r>
    </w:p>
    <w:p>
      <w:pPr>
        <w:adjustRightInd/>
        <w:spacing w:line="240" w:lineRule="auto"/>
        <w:ind w:firstLine="632" w:firstLineChars="200"/>
        <w:textAlignment w:val="auto"/>
        <w:rPr>
          <w:rFonts w:hint="eastAsia"/>
        </w:rPr>
      </w:pPr>
      <w:r>
        <w:rPr>
          <w:rFonts w:hint="eastAsia"/>
        </w:rPr>
        <w:t>2020年，全市电力装机容量达2607万千瓦，较2015年增长23.6%。建成投运川渝第三输电通道、铜梁SVG（动态无功补偿装置）站及渝鄂背靠背工程，川渝、渝鄂电网输电通道综合最大输送能力约750万千瓦。完善“两横三纵”500千伏电网主网架结构，形成以500千伏站点为支撑的220千伏“网格”“环形”分层分区供电格局。全市配电网快速发展，供电可靠率达99.868%，综合电压合格率达99.684%。天然气产量达131.5亿立方米，较2015年提高66%。西南地区首座地下储气库投运，全市输气干线管道达5500公里，输气能力达350亿立方米/年。成品油管道里程达486公里，年供应量达883万吨，市级成品油应急储备规模稳定在15万吨/年。采用“产能置换+保障供给+常态储煤+物流投资”战略合作，“十三五”期间陕西、甘肃、内蒙古、贵州等外煤入渝总量近2亿吨，有效保障全市煤炭供给。</w:t>
      </w:r>
    </w:p>
    <w:p>
      <w:pPr>
        <w:adjustRightInd/>
        <w:spacing w:line="240" w:lineRule="auto"/>
        <w:ind w:firstLine="632" w:firstLineChars="200"/>
        <w:textAlignment w:val="auto"/>
        <w:rPr>
          <w:rFonts w:hint="eastAsia" w:eastAsia="方正楷体_GBK"/>
        </w:rPr>
      </w:pPr>
      <w:r>
        <w:rPr>
          <w:rFonts w:hint="eastAsia" w:eastAsia="方正楷体_GBK"/>
        </w:rPr>
        <w:t>（三）能源惠民利民成果丰硕。</w:t>
      </w:r>
    </w:p>
    <w:p>
      <w:pPr>
        <w:adjustRightInd/>
        <w:spacing w:line="240" w:lineRule="auto"/>
        <w:ind w:firstLine="632" w:firstLineChars="200"/>
        <w:textAlignment w:val="auto"/>
        <w:rPr>
          <w:rFonts w:hint="eastAsia"/>
        </w:rPr>
      </w:pPr>
      <w:r>
        <w:rPr>
          <w:rFonts w:hint="eastAsia"/>
        </w:rPr>
        <w:t>城</w:t>
      </w:r>
      <w:r>
        <w:rPr>
          <w:rFonts w:hint="eastAsia"/>
          <w:spacing w:val="-4"/>
        </w:rPr>
        <w:t>市配电网和农村电网改造升级同步推进，“十三五”期间累计新建和改造110千伏、10千伏等变电容量1672.49兆伏安，线路长度累计达29738.93公里。居民人均生活用电量达689千瓦时/年，农网供电可靠率达99.84%。城镇居民天然气普及率达98.5%，人均用气量达331.3立方米/年。建成奉节金凤山风电，巫溪、巫山农光互补光伏等项目，带动贫困地区增加收入、扩大就业。电动汽车充电基础设施建设覆盖全部区县（自治县，以下简称区县），建成“一环十射”高速公路快充网络，中心城区充电服务平均半径达到1公里，公共“车桩比”达3.5∶1，处于西部领先水平。</w:t>
      </w:r>
    </w:p>
    <w:p>
      <w:pPr>
        <w:adjustRightInd/>
        <w:spacing w:line="240" w:lineRule="auto"/>
        <w:ind w:firstLine="632" w:firstLineChars="200"/>
        <w:textAlignment w:val="auto"/>
        <w:rPr>
          <w:rFonts w:hint="eastAsia" w:eastAsia="方正楷体_GBK"/>
        </w:rPr>
      </w:pPr>
      <w:r>
        <w:rPr>
          <w:rFonts w:hint="eastAsia" w:eastAsia="方正楷体_GBK"/>
        </w:rPr>
        <w:t>（四）能源体制改革稳步推进。</w:t>
      </w:r>
    </w:p>
    <w:p>
      <w:pPr>
        <w:adjustRightInd/>
        <w:spacing w:line="240" w:lineRule="auto"/>
        <w:ind w:firstLine="632" w:firstLineChars="200"/>
        <w:textAlignment w:val="auto"/>
        <w:rPr>
          <w:rFonts w:hint="eastAsia"/>
        </w:rPr>
      </w:pPr>
      <w:r>
        <w:rPr>
          <w:rFonts w:hint="eastAsia"/>
        </w:rPr>
        <w:t>成功组建全国首个省级股份制电力交易中心，12个园区配电网建设项目纳入国家增量配电业务试点，其中两江新区、长寿经开区、重庆中梁山等3个园区配电网项目建成投运。创新组建专业化管网运营公司和全国首个混合所有制储气库运营公司，促进天然气管网、储气库等基础设施独立运营并向第三方公平开放。国家级能源交易平台重庆石油天然气交易中心落户并开展常态化交易，发布川渝天然气现货价格、区域LNG厂站价格。稳妥推进能源价格改革，放开直供用户天然气价格；出台重庆市城镇燃气、天然气管道输气价格管理办法，开展输配气管道价格管理和监审；推动输配电价改革，清理不合理附加费用。</w:t>
      </w:r>
    </w:p>
    <w:p>
      <w:pPr>
        <w:jc w:val="center"/>
        <w:rPr>
          <w:rFonts w:hint="eastAsia" w:eastAsia="方正黑体_GBK"/>
        </w:rPr>
      </w:pPr>
      <w:r>
        <w:rPr>
          <w:rFonts w:hint="eastAsia" w:eastAsia="方正黑体_GBK"/>
        </w:rPr>
        <w:t>专栏1  重庆市“十三五”能源生产消费表</w:t>
      </w:r>
    </w:p>
    <w:tbl>
      <w:tblPr>
        <w:tblStyle w:val="6"/>
        <w:tblW w:w="8834" w:type="dxa"/>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0" w:type="dxa"/>
          <w:bottom w:w="0" w:type="dxa"/>
          <w:right w:w="0" w:type="dxa"/>
        </w:tblCellMar>
      </w:tblPr>
      <w:tblGrid>
        <w:gridCol w:w="667"/>
        <w:gridCol w:w="3058"/>
        <w:gridCol w:w="1126"/>
        <w:gridCol w:w="1203"/>
        <w:gridCol w:w="1078"/>
        <w:gridCol w:w="1702"/>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25" w:hRule="atLeast"/>
          <w:tblHeader/>
          <w:jc w:val="center"/>
        </w:trPr>
        <w:tc>
          <w:tcPr>
            <w:tcW w:w="667" w:type="dxa"/>
            <w:noWrap w:val="0"/>
            <w:tcMar>
              <w:top w:w="0" w:type="dxa"/>
              <w:left w:w="85" w:type="dxa"/>
              <w:bottom w:w="0" w:type="dxa"/>
              <w:right w:w="85" w:type="dxa"/>
            </w:tcMar>
            <w:vAlign w:val="center"/>
          </w:tcPr>
          <w:p>
            <w:pPr>
              <w:jc w:val="center"/>
              <w:rPr>
                <w:rFonts w:hint="eastAsia" w:eastAsia="方正黑体_GBK"/>
                <w:sz w:val="24"/>
                <w:szCs w:val="24"/>
              </w:rPr>
            </w:pPr>
            <w:r>
              <w:rPr>
                <w:rFonts w:hint="eastAsia" w:eastAsia="方正黑体_GBK"/>
                <w:sz w:val="24"/>
                <w:szCs w:val="24"/>
              </w:rPr>
              <w:t>序号</w:t>
            </w:r>
          </w:p>
        </w:tc>
        <w:tc>
          <w:tcPr>
            <w:tcW w:w="3058" w:type="dxa"/>
            <w:noWrap w:val="0"/>
            <w:tcMar>
              <w:top w:w="0" w:type="dxa"/>
              <w:left w:w="85" w:type="dxa"/>
              <w:bottom w:w="0" w:type="dxa"/>
              <w:right w:w="85" w:type="dxa"/>
            </w:tcMar>
            <w:vAlign w:val="center"/>
          </w:tcPr>
          <w:p>
            <w:pPr>
              <w:jc w:val="center"/>
              <w:rPr>
                <w:rFonts w:hint="eastAsia" w:eastAsia="方正黑体_GBK"/>
                <w:sz w:val="24"/>
                <w:szCs w:val="24"/>
              </w:rPr>
            </w:pPr>
            <w:r>
              <w:rPr>
                <w:rFonts w:hint="eastAsia" w:eastAsia="方正黑体_GBK"/>
                <w:sz w:val="24"/>
                <w:szCs w:val="24"/>
              </w:rPr>
              <w:t>指标名称</w:t>
            </w:r>
          </w:p>
        </w:tc>
        <w:tc>
          <w:tcPr>
            <w:tcW w:w="1126" w:type="dxa"/>
            <w:noWrap w:val="0"/>
            <w:tcMar>
              <w:top w:w="0" w:type="dxa"/>
              <w:left w:w="85" w:type="dxa"/>
              <w:bottom w:w="0" w:type="dxa"/>
              <w:right w:w="85" w:type="dxa"/>
            </w:tcMar>
            <w:vAlign w:val="center"/>
          </w:tcPr>
          <w:p>
            <w:pPr>
              <w:jc w:val="center"/>
              <w:rPr>
                <w:rFonts w:hint="eastAsia" w:eastAsia="方正黑体_GBK"/>
                <w:sz w:val="24"/>
                <w:szCs w:val="24"/>
              </w:rPr>
            </w:pPr>
            <w:r>
              <w:rPr>
                <w:rFonts w:hint="eastAsia" w:eastAsia="方正黑体_GBK"/>
                <w:sz w:val="24"/>
                <w:szCs w:val="24"/>
              </w:rPr>
              <w:t>单位</w:t>
            </w:r>
          </w:p>
        </w:tc>
        <w:tc>
          <w:tcPr>
            <w:tcW w:w="1203" w:type="dxa"/>
            <w:noWrap w:val="0"/>
            <w:tcMar>
              <w:top w:w="0" w:type="dxa"/>
              <w:left w:w="85" w:type="dxa"/>
              <w:bottom w:w="0" w:type="dxa"/>
              <w:right w:w="85" w:type="dxa"/>
            </w:tcMar>
            <w:vAlign w:val="center"/>
          </w:tcPr>
          <w:p>
            <w:pPr>
              <w:jc w:val="center"/>
              <w:rPr>
                <w:rFonts w:hint="eastAsia" w:eastAsia="方正黑体_GBK"/>
                <w:sz w:val="24"/>
                <w:szCs w:val="24"/>
              </w:rPr>
            </w:pPr>
            <w:r>
              <w:rPr>
                <w:rFonts w:hint="eastAsia" w:eastAsia="方正黑体_GBK"/>
                <w:sz w:val="24"/>
                <w:szCs w:val="24"/>
              </w:rPr>
              <w:t>2015年</w:t>
            </w:r>
          </w:p>
        </w:tc>
        <w:tc>
          <w:tcPr>
            <w:tcW w:w="1078" w:type="dxa"/>
            <w:noWrap w:val="0"/>
            <w:tcMar>
              <w:top w:w="0" w:type="dxa"/>
              <w:left w:w="85" w:type="dxa"/>
              <w:bottom w:w="0" w:type="dxa"/>
              <w:right w:w="85" w:type="dxa"/>
            </w:tcMar>
            <w:vAlign w:val="center"/>
          </w:tcPr>
          <w:p>
            <w:pPr>
              <w:jc w:val="center"/>
              <w:rPr>
                <w:rFonts w:hint="eastAsia" w:eastAsia="方正黑体_GBK"/>
                <w:sz w:val="24"/>
                <w:szCs w:val="24"/>
              </w:rPr>
            </w:pPr>
            <w:r>
              <w:rPr>
                <w:rFonts w:hint="eastAsia" w:eastAsia="方正黑体_GBK"/>
                <w:sz w:val="24"/>
                <w:szCs w:val="24"/>
              </w:rPr>
              <w:t>2020年</w:t>
            </w:r>
          </w:p>
        </w:tc>
        <w:tc>
          <w:tcPr>
            <w:tcW w:w="1702" w:type="dxa"/>
            <w:noWrap w:val="0"/>
            <w:tcMar>
              <w:top w:w="0" w:type="dxa"/>
              <w:left w:w="85" w:type="dxa"/>
              <w:bottom w:w="0" w:type="dxa"/>
              <w:right w:w="85" w:type="dxa"/>
            </w:tcMar>
            <w:vAlign w:val="center"/>
          </w:tcPr>
          <w:p>
            <w:pPr>
              <w:jc w:val="center"/>
              <w:rPr>
                <w:rFonts w:hint="eastAsia" w:eastAsia="方正黑体_GBK"/>
                <w:sz w:val="24"/>
                <w:szCs w:val="24"/>
              </w:rPr>
            </w:pPr>
            <w:r>
              <w:rPr>
                <w:rFonts w:hint="eastAsia" w:eastAsia="方正黑体_GBK"/>
                <w:sz w:val="24"/>
                <w:szCs w:val="24"/>
              </w:rPr>
              <w:t>年均增速（%）</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58" w:hRule="atLeast"/>
          <w:jc w:val="center"/>
        </w:trPr>
        <w:tc>
          <w:tcPr>
            <w:tcW w:w="667" w:type="dxa"/>
            <w:shd w:val="clear" w:color="auto" w:fill="auto"/>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1</w:t>
            </w:r>
          </w:p>
        </w:tc>
        <w:tc>
          <w:tcPr>
            <w:tcW w:w="3058" w:type="dxa"/>
            <w:shd w:val="clear" w:color="auto" w:fill="FFFFFF"/>
            <w:noWrap w:val="0"/>
            <w:tcMar>
              <w:top w:w="0" w:type="dxa"/>
              <w:left w:w="85" w:type="dxa"/>
              <w:bottom w:w="0" w:type="dxa"/>
              <w:right w:w="85" w:type="dxa"/>
            </w:tcMar>
            <w:vAlign w:val="center"/>
          </w:tcPr>
          <w:p>
            <w:pPr>
              <w:rPr>
                <w:rFonts w:hint="eastAsia" w:eastAsia="方正书宋_GBK"/>
                <w:sz w:val="24"/>
                <w:szCs w:val="24"/>
              </w:rPr>
            </w:pPr>
            <w:r>
              <w:rPr>
                <w:rFonts w:hint="eastAsia" w:eastAsia="方正书宋_GBK"/>
                <w:sz w:val="24"/>
                <w:szCs w:val="24"/>
              </w:rPr>
              <w:t>能源消费总量</w:t>
            </w:r>
          </w:p>
        </w:tc>
        <w:tc>
          <w:tcPr>
            <w:tcW w:w="1126"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万吨标煤</w:t>
            </w:r>
          </w:p>
        </w:tc>
        <w:tc>
          <w:tcPr>
            <w:tcW w:w="1203"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7747</w:t>
            </w:r>
          </w:p>
        </w:tc>
        <w:tc>
          <w:tcPr>
            <w:tcW w:w="1078"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8875</w:t>
            </w:r>
          </w:p>
        </w:tc>
        <w:tc>
          <w:tcPr>
            <w:tcW w:w="1702"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2.8</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59" w:hRule="atLeast"/>
          <w:jc w:val="center"/>
        </w:trPr>
        <w:tc>
          <w:tcPr>
            <w:tcW w:w="667" w:type="dxa"/>
            <w:shd w:val="clear" w:color="auto" w:fill="auto"/>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2</w:t>
            </w:r>
          </w:p>
        </w:tc>
        <w:tc>
          <w:tcPr>
            <w:tcW w:w="3058" w:type="dxa"/>
            <w:shd w:val="clear" w:color="auto" w:fill="FFFFFF"/>
            <w:noWrap w:val="0"/>
            <w:tcMar>
              <w:top w:w="0" w:type="dxa"/>
              <w:left w:w="85" w:type="dxa"/>
              <w:bottom w:w="0" w:type="dxa"/>
              <w:right w:w="85" w:type="dxa"/>
            </w:tcMar>
            <w:vAlign w:val="center"/>
          </w:tcPr>
          <w:p>
            <w:pPr>
              <w:rPr>
                <w:rFonts w:hint="eastAsia" w:eastAsia="方正书宋_GBK"/>
                <w:sz w:val="24"/>
                <w:szCs w:val="24"/>
              </w:rPr>
            </w:pPr>
            <w:r>
              <w:rPr>
                <w:rFonts w:hint="eastAsia" w:eastAsia="方正书宋_GBK"/>
                <w:sz w:val="24"/>
                <w:szCs w:val="24"/>
              </w:rPr>
              <w:t>煤炭消费量</w:t>
            </w:r>
          </w:p>
        </w:tc>
        <w:tc>
          <w:tcPr>
            <w:tcW w:w="1126"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万吨</w:t>
            </w:r>
          </w:p>
        </w:tc>
        <w:tc>
          <w:tcPr>
            <w:tcW w:w="1203"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4880</w:t>
            </w:r>
          </w:p>
        </w:tc>
        <w:tc>
          <w:tcPr>
            <w:tcW w:w="1078"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4996</w:t>
            </w:r>
          </w:p>
        </w:tc>
        <w:tc>
          <w:tcPr>
            <w:tcW w:w="1702"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0.5</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59" w:hRule="atLeast"/>
          <w:jc w:val="center"/>
        </w:trPr>
        <w:tc>
          <w:tcPr>
            <w:tcW w:w="667" w:type="dxa"/>
            <w:shd w:val="clear" w:color="auto" w:fill="auto"/>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3</w:t>
            </w:r>
          </w:p>
        </w:tc>
        <w:tc>
          <w:tcPr>
            <w:tcW w:w="3058" w:type="dxa"/>
            <w:shd w:val="clear" w:color="auto" w:fill="FFFFFF"/>
            <w:noWrap w:val="0"/>
            <w:tcMar>
              <w:top w:w="0" w:type="dxa"/>
              <w:left w:w="85" w:type="dxa"/>
              <w:bottom w:w="0" w:type="dxa"/>
              <w:right w:w="85" w:type="dxa"/>
            </w:tcMar>
            <w:vAlign w:val="center"/>
          </w:tcPr>
          <w:p>
            <w:pPr>
              <w:rPr>
                <w:rFonts w:hint="eastAsia" w:eastAsia="方正书宋_GBK"/>
                <w:sz w:val="24"/>
                <w:szCs w:val="24"/>
              </w:rPr>
            </w:pPr>
            <w:r>
              <w:rPr>
                <w:rFonts w:hint="eastAsia" w:eastAsia="方正书宋_GBK"/>
                <w:sz w:val="24"/>
                <w:szCs w:val="24"/>
              </w:rPr>
              <w:t>煤炭消费比重</w:t>
            </w:r>
          </w:p>
        </w:tc>
        <w:tc>
          <w:tcPr>
            <w:tcW w:w="1126"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1203"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49.1</w:t>
            </w:r>
          </w:p>
        </w:tc>
        <w:tc>
          <w:tcPr>
            <w:tcW w:w="1078"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44.3</w:t>
            </w:r>
          </w:p>
        </w:tc>
        <w:tc>
          <w:tcPr>
            <w:tcW w:w="1702"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[-4.8]</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59" w:hRule="atLeast"/>
          <w:jc w:val="center"/>
        </w:trPr>
        <w:tc>
          <w:tcPr>
            <w:tcW w:w="667"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4</w:t>
            </w:r>
          </w:p>
        </w:tc>
        <w:tc>
          <w:tcPr>
            <w:tcW w:w="3058" w:type="dxa"/>
            <w:noWrap w:val="0"/>
            <w:tcMar>
              <w:top w:w="0" w:type="dxa"/>
              <w:left w:w="85" w:type="dxa"/>
              <w:bottom w:w="0" w:type="dxa"/>
              <w:right w:w="85" w:type="dxa"/>
            </w:tcMar>
            <w:vAlign w:val="center"/>
          </w:tcPr>
          <w:p>
            <w:pPr>
              <w:rPr>
                <w:rFonts w:hint="eastAsia" w:eastAsia="方正书宋_GBK"/>
                <w:sz w:val="24"/>
                <w:szCs w:val="24"/>
              </w:rPr>
            </w:pPr>
            <w:r>
              <w:rPr>
                <w:rFonts w:hint="eastAsia" w:eastAsia="方正书宋_GBK"/>
                <w:sz w:val="24"/>
                <w:szCs w:val="24"/>
              </w:rPr>
              <w:t>成品油消费量</w:t>
            </w:r>
          </w:p>
        </w:tc>
        <w:tc>
          <w:tcPr>
            <w:tcW w:w="1126"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万吨</w:t>
            </w:r>
          </w:p>
        </w:tc>
        <w:tc>
          <w:tcPr>
            <w:tcW w:w="1203"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793</w:t>
            </w:r>
          </w:p>
        </w:tc>
        <w:tc>
          <w:tcPr>
            <w:tcW w:w="1078"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958</w:t>
            </w:r>
          </w:p>
        </w:tc>
        <w:tc>
          <w:tcPr>
            <w:tcW w:w="1702"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3.9</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59" w:hRule="atLeast"/>
          <w:jc w:val="center"/>
        </w:trPr>
        <w:tc>
          <w:tcPr>
            <w:tcW w:w="667"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5</w:t>
            </w:r>
          </w:p>
        </w:tc>
        <w:tc>
          <w:tcPr>
            <w:tcW w:w="3058" w:type="dxa"/>
            <w:noWrap w:val="0"/>
            <w:tcMar>
              <w:top w:w="0" w:type="dxa"/>
              <w:left w:w="85" w:type="dxa"/>
              <w:bottom w:w="0" w:type="dxa"/>
              <w:right w:w="85" w:type="dxa"/>
            </w:tcMar>
            <w:vAlign w:val="center"/>
          </w:tcPr>
          <w:p>
            <w:pPr>
              <w:rPr>
                <w:rFonts w:hint="eastAsia" w:eastAsia="方正书宋_GBK"/>
                <w:sz w:val="24"/>
                <w:szCs w:val="24"/>
              </w:rPr>
            </w:pPr>
            <w:r>
              <w:rPr>
                <w:rFonts w:hint="eastAsia" w:eastAsia="方正书宋_GBK"/>
                <w:sz w:val="24"/>
                <w:szCs w:val="24"/>
              </w:rPr>
              <w:t>成品油消费比重</w:t>
            </w:r>
          </w:p>
        </w:tc>
        <w:tc>
          <w:tcPr>
            <w:tcW w:w="1126"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1203"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15.0</w:t>
            </w:r>
          </w:p>
        </w:tc>
        <w:tc>
          <w:tcPr>
            <w:tcW w:w="1078"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15.8</w:t>
            </w:r>
          </w:p>
        </w:tc>
        <w:tc>
          <w:tcPr>
            <w:tcW w:w="1702"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[0.8]</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667"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6</w:t>
            </w:r>
          </w:p>
        </w:tc>
        <w:tc>
          <w:tcPr>
            <w:tcW w:w="3058" w:type="dxa"/>
            <w:noWrap w:val="0"/>
            <w:tcMar>
              <w:top w:w="0" w:type="dxa"/>
              <w:left w:w="85" w:type="dxa"/>
              <w:bottom w:w="0" w:type="dxa"/>
              <w:right w:w="85" w:type="dxa"/>
            </w:tcMar>
            <w:vAlign w:val="center"/>
          </w:tcPr>
          <w:p>
            <w:pPr>
              <w:rPr>
                <w:rFonts w:hint="eastAsia" w:eastAsia="方正书宋_GBK"/>
                <w:sz w:val="24"/>
                <w:szCs w:val="24"/>
              </w:rPr>
            </w:pPr>
            <w:r>
              <w:rPr>
                <w:rFonts w:hint="eastAsia" w:eastAsia="方正书宋_GBK"/>
                <w:sz w:val="24"/>
                <w:szCs w:val="24"/>
              </w:rPr>
              <w:t>天然气消费量</w:t>
            </w:r>
          </w:p>
        </w:tc>
        <w:tc>
          <w:tcPr>
            <w:tcW w:w="1126"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亿立方米</w:t>
            </w:r>
          </w:p>
        </w:tc>
        <w:tc>
          <w:tcPr>
            <w:tcW w:w="1203"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88</w:t>
            </w:r>
          </w:p>
        </w:tc>
        <w:tc>
          <w:tcPr>
            <w:tcW w:w="1078"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107</w:t>
            </w:r>
          </w:p>
        </w:tc>
        <w:tc>
          <w:tcPr>
            <w:tcW w:w="1702"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4.0</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667"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7</w:t>
            </w:r>
          </w:p>
        </w:tc>
        <w:tc>
          <w:tcPr>
            <w:tcW w:w="3058" w:type="dxa"/>
            <w:noWrap w:val="0"/>
            <w:tcMar>
              <w:top w:w="0" w:type="dxa"/>
              <w:left w:w="85" w:type="dxa"/>
              <w:bottom w:w="0" w:type="dxa"/>
              <w:right w:w="85" w:type="dxa"/>
            </w:tcMar>
            <w:vAlign w:val="center"/>
          </w:tcPr>
          <w:p>
            <w:pPr>
              <w:rPr>
                <w:rFonts w:hint="eastAsia" w:eastAsia="方正书宋_GBK"/>
                <w:sz w:val="24"/>
                <w:szCs w:val="24"/>
              </w:rPr>
            </w:pPr>
            <w:r>
              <w:rPr>
                <w:rFonts w:hint="eastAsia" w:eastAsia="方正书宋_GBK"/>
                <w:sz w:val="24"/>
                <w:szCs w:val="24"/>
              </w:rPr>
              <w:t>天然气消费比重</w:t>
            </w:r>
          </w:p>
        </w:tc>
        <w:tc>
          <w:tcPr>
            <w:tcW w:w="1126"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1203"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15.2</w:t>
            </w:r>
          </w:p>
        </w:tc>
        <w:tc>
          <w:tcPr>
            <w:tcW w:w="1078"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15.7</w:t>
            </w:r>
          </w:p>
        </w:tc>
        <w:tc>
          <w:tcPr>
            <w:tcW w:w="1702"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[0.5]</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667"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8</w:t>
            </w:r>
          </w:p>
        </w:tc>
        <w:tc>
          <w:tcPr>
            <w:tcW w:w="3058" w:type="dxa"/>
            <w:noWrap w:val="0"/>
            <w:tcMar>
              <w:top w:w="0" w:type="dxa"/>
              <w:left w:w="85" w:type="dxa"/>
              <w:bottom w:w="0" w:type="dxa"/>
              <w:right w:w="85" w:type="dxa"/>
            </w:tcMar>
            <w:vAlign w:val="center"/>
          </w:tcPr>
          <w:p>
            <w:pPr>
              <w:rPr>
                <w:rFonts w:hint="eastAsia" w:eastAsia="方正书宋_GBK"/>
                <w:sz w:val="24"/>
                <w:szCs w:val="24"/>
              </w:rPr>
            </w:pPr>
            <w:r>
              <w:rPr>
                <w:rFonts w:hint="eastAsia" w:eastAsia="方正书宋_GBK"/>
                <w:sz w:val="24"/>
                <w:szCs w:val="24"/>
              </w:rPr>
              <w:t>非化石能源消费量</w:t>
            </w:r>
          </w:p>
        </w:tc>
        <w:tc>
          <w:tcPr>
            <w:tcW w:w="1126"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万吨标煤</w:t>
            </w:r>
          </w:p>
        </w:tc>
        <w:tc>
          <w:tcPr>
            <w:tcW w:w="1203"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1364</w:t>
            </w:r>
          </w:p>
        </w:tc>
        <w:tc>
          <w:tcPr>
            <w:tcW w:w="1078"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1857</w:t>
            </w:r>
          </w:p>
        </w:tc>
        <w:tc>
          <w:tcPr>
            <w:tcW w:w="1702"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6.4</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667"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9</w:t>
            </w:r>
          </w:p>
        </w:tc>
        <w:tc>
          <w:tcPr>
            <w:tcW w:w="3058" w:type="dxa"/>
            <w:noWrap w:val="0"/>
            <w:tcMar>
              <w:top w:w="0" w:type="dxa"/>
              <w:left w:w="85" w:type="dxa"/>
              <w:bottom w:w="0" w:type="dxa"/>
              <w:right w:w="85" w:type="dxa"/>
            </w:tcMar>
            <w:vAlign w:val="center"/>
          </w:tcPr>
          <w:p>
            <w:pPr>
              <w:rPr>
                <w:rFonts w:hint="eastAsia" w:eastAsia="方正书宋_GBK"/>
                <w:sz w:val="24"/>
                <w:szCs w:val="24"/>
              </w:rPr>
            </w:pPr>
            <w:r>
              <w:rPr>
                <w:rFonts w:hint="eastAsia" w:eastAsia="方正书宋_GBK"/>
                <w:sz w:val="24"/>
                <w:szCs w:val="24"/>
              </w:rPr>
              <w:t>非化石能源消费比重</w:t>
            </w:r>
          </w:p>
        </w:tc>
        <w:tc>
          <w:tcPr>
            <w:tcW w:w="1126"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1203"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17.6</w:t>
            </w:r>
          </w:p>
        </w:tc>
        <w:tc>
          <w:tcPr>
            <w:tcW w:w="1078"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20.9</w:t>
            </w:r>
          </w:p>
        </w:tc>
        <w:tc>
          <w:tcPr>
            <w:tcW w:w="1702"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[3.3]</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667"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10</w:t>
            </w:r>
          </w:p>
        </w:tc>
        <w:tc>
          <w:tcPr>
            <w:tcW w:w="3058" w:type="dxa"/>
            <w:noWrap w:val="0"/>
            <w:tcMar>
              <w:top w:w="0" w:type="dxa"/>
              <w:left w:w="85" w:type="dxa"/>
              <w:bottom w:w="0" w:type="dxa"/>
              <w:right w:w="85" w:type="dxa"/>
            </w:tcMar>
            <w:vAlign w:val="center"/>
          </w:tcPr>
          <w:p>
            <w:pPr>
              <w:rPr>
                <w:rFonts w:hint="eastAsia" w:eastAsia="方正书宋_GBK"/>
                <w:sz w:val="24"/>
                <w:szCs w:val="24"/>
              </w:rPr>
            </w:pPr>
            <w:r>
              <w:rPr>
                <w:rFonts w:hint="eastAsia" w:eastAsia="方正书宋_GBK"/>
                <w:sz w:val="24"/>
                <w:szCs w:val="24"/>
              </w:rPr>
              <w:t>全社会用电量</w:t>
            </w:r>
          </w:p>
        </w:tc>
        <w:tc>
          <w:tcPr>
            <w:tcW w:w="1126"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亿千瓦时</w:t>
            </w:r>
          </w:p>
        </w:tc>
        <w:tc>
          <w:tcPr>
            <w:tcW w:w="1203"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875</w:t>
            </w:r>
          </w:p>
        </w:tc>
        <w:tc>
          <w:tcPr>
            <w:tcW w:w="1078"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1187</w:t>
            </w:r>
          </w:p>
        </w:tc>
        <w:tc>
          <w:tcPr>
            <w:tcW w:w="1702"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6.3</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667"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11</w:t>
            </w:r>
          </w:p>
        </w:tc>
        <w:tc>
          <w:tcPr>
            <w:tcW w:w="3058" w:type="dxa"/>
            <w:noWrap w:val="0"/>
            <w:tcMar>
              <w:top w:w="0" w:type="dxa"/>
              <w:left w:w="85" w:type="dxa"/>
              <w:bottom w:w="0" w:type="dxa"/>
              <w:right w:w="85" w:type="dxa"/>
            </w:tcMar>
            <w:vAlign w:val="center"/>
          </w:tcPr>
          <w:p>
            <w:pPr>
              <w:rPr>
                <w:rFonts w:hint="eastAsia" w:eastAsia="方正书宋_GBK"/>
                <w:sz w:val="24"/>
                <w:szCs w:val="24"/>
              </w:rPr>
            </w:pPr>
            <w:r>
              <w:rPr>
                <w:rFonts w:hint="eastAsia" w:eastAsia="方正书宋_GBK"/>
                <w:sz w:val="24"/>
                <w:szCs w:val="24"/>
              </w:rPr>
              <w:t>电力装机容量</w:t>
            </w:r>
          </w:p>
        </w:tc>
        <w:tc>
          <w:tcPr>
            <w:tcW w:w="1126"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万千瓦</w:t>
            </w:r>
          </w:p>
        </w:tc>
        <w:tc>
          <w:tcPr>
            <w:tcW w:w="1203"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2110</w:t>
            </w:r>
          </w:p>
        </w:tc>
        <w:tc>
          <w:tcPr>
            <w:tcW w:w="1078"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2607</w:t>
            </w:r>
          </w:p>
        </w:tc>
        <w:tc>
          <w:tcPr>
            <w:tcW w:w="1702"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4.3</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667"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12</w:t>
            </w:r>
          </w:p>
        </w:tc>
        <w:tc>
          <w:tcPr>
            <w:tcW w:w="3058" w:type="dxa"/>
            <w:noWrap w:val="0"/>
            <w:tcMar>
              <w:top w:w="0" w:type="dxa"/>
              <w:left w:w="85" w:type="dxa"/>
              <w:bottom w:w="0" w:type="dxa"/>
              <w:right w:w="85" w:type="dxa"/>
            </w:tcMar>
            <w:vAlign w:val="center"/>
          </w:tcPr>
          <w:p>
            <w:pPr>
              <w:rPr>
                <w:rFonts w:hint="eastAsia" w:eastAsia="方正书宋_GBK"/>
                <w:sz w:val="24"/>
                <w:szCs w:val="24"/>
              </w:rPr>
            </w:pPr>
            <w:r>
              <w:rPr>
                <w:rFonts w:hint="eastAsia" w:eastAsia="方正书宋_GBK"/>
                <w:sz w:val="24"/>
                <w:szCs w:val="24"/>
              </w:rPr>
              <w:t>其中：水电</w:t>
            </w:r>
          </w:p>
        </w:tc>
        <w:tc>
          <w:tcPr>
            <w:tcW w:w="1126"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万千瓦</w:t>
            </w:r>
          </w:p>
        </w:tc>
        <w:tc>
          <w:tcPr>
            <w:tcW w:w="1203"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676</w:t>
            </w:r>
          </w:p>
        </w:tc>
        <w:tc>
          <w:tcPr>
            <w:tcW w:w="1078"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779</w:t>
            </w:r>
          </w:p>
        </w:tc>
        <w:tc>
          <w:tcPr>
            <w:tcW w:w="1702"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2.9</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667"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13</w:t>
            </w:r>
          </w:p>
        </w:tc>
        <w:tc>
          <w:tcPr>
            <w:tcW w:w="3058" w:type="dxa"/>
            <w:noWrap w:val="0"/>
            <w:tcMar>
              <w:top w:w="0" w:type="dxa"/>
              <w:left w:w="85" w:type="dxa"/>
              <w:bottom w:w="0" w:type="dxa"/>
              <w:right w:w="85" w:type="dxa"/>
            </w:tcMar>
            <w:vAlign w:val="center"/>
          </w:tcPr>
          <w:p>
            <w:pPr>
              <w:rPr>
                <w:rFonts w:hint="eastAsia" w:eastAsia="方正书宋_GBK"/>
                <w:sz w:val="24"/>
                <w:szCs w:val="24"/>
              </w:rPr>
            </w:pPr>
            <w:r>
              <w:rPr>
                <w:rFonts w:hint="eastAsia" w:eastAsia="方正书宋_GBK"/>
                <w:sz w:val="24"/>
                <w:szCs w:val="24"/>
              </w:rPr>
              <w:t>火电（含生物质）</w:t>
            </w:r>
          </w:p>
        </w:tc>
        <w:tc>
          <w:tcPr>
            <w:tcW w:w="1126"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万千瓦</w:t>
            </w:r>
          </w:p>
        </w:tc>
        <w:tc>
          <w:tcPr>
            <w:tcW w:w="1203"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1411</w:t>
            </w:r>
          </w:p>
        </w:tc>
        <w:tc>
          <w:tcPr>
            <w:tcW w:w="1078"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1663</w:t>
            </w:r>
          </w:p>
        </w:tc>
        <w:tc>
          <w:tcPr>
            <w:tcW w:w="1702"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3.4</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667"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14</w:t>
            </w:r>
          </w:p>
        </w:tc>
        <w:tc>
          <w:tcPr>
            <w:tcW w:w="3058" w:type="dxa"/>
            <w:noWrap w:val="0"/>
            <w:tcMar>
              <w:top w:w="0" w:type="dxa"/>
              <w:left w:w="85" w:type="dxa"/>
              <w:bottom w:w="0" w:type="dxa"/>
              <w:right w:w="85" w:type="dxa"/>
            </w:tcMar>
            <w:vAlign w:val="center"/>
          </w:tcPr>
          <w:p>
            <w:pPr>
              <w:rPr>
                <w:rFonts w:hint="eastAsia" w:eastAsia="方正书宋_GBK"/>
                <w:sz w:val="24"/>
                <w:szCs w:val="24"/>
              </w:rPr>
            </w:pPr>
            <w:r>
              <w:rPr>
                <w:rFonts w:hint="eastAsia" w:eastAsia="方正书宋_GBK"/>
                <w:sz w:val="24"/>
                <w:szCs w:val="24"/>
              </w:rPr>
              <w:t>非水可再生能源（含生物质）</w:t>
            </w:r>
          </w:p>
        </w:tc>
        <w:tc>
          <w:tcPr>
            <w:tcW w:w="1126"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万千瓦</w:t>
            </w:r>
          </w:p>
        </w:tc>
        <w:tc>
          <w:tcPr>
            <w:tcW w:w="1203"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39.04</w:t>
            </w:r>
          </w:p>
        </w:tc>
        <w:tc>
          <w:tcPr>
            <w:tcW w:w="1078"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199</w:t>
            </w:r>
          </w:p>
        </w:tc>
        <w:tc>
          <w:tcPr>
            <w:tcW w:w="1702"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38.9</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667"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15</w:t>
            </w:r>
          </w:p>
        </w:tc>
        <w:tc>
          <w:tcPr>
            <w:tcW w:w="3058" w:type="dxa"/>
            <w:noWrap w:val="0"/>
            <w:tcMar>
              <w:top w:w="0" w:type="dxa"/>
              <w:left w:w="85" w:type="dxa"/>
              <w:bottom w:w="0" w:type="dxa"/>
              <w:right w:w="85" w:type="dxa"/>
            </w:tcMar>
            <w:vAlign w:val="center"/>
          </w:tcPr>
          <w:p>
            <w:pPr>
              <w:rPr>
                <w:rFonts w:hint="eastAsia" w:eastAsia="方正书宋_GBK"/>
                <w:sz w:val="24"/>
                <w:szCs w:val="24"/>
              </w:rPr>
            </w:pPr>
            <w:r>
              <w:rPr>
                <w:rFonts w:hint="eastAsia" w:eastAsia="方正书宋_GBK"/>
                <w:sz w:val="24"/>
                <w:szCs w:val="24"/>
              </w:rPr>
              <w:t>发电量</w:t>
            </w:r>
          </w:p>
        </w:tc>
        <w:tc>
          <w:tcPr>
            <w:tcW w:w="1126"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亿千瓦时</w:t>
            </w:r>
          </w:p>
        </w:tc>
        <w:tc>
          <w:tcPr>
            <w:tcW w:w="1203"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682.63</w:t>
            </w:r>
          </w:p>
        </w:tc>
        <w:tc>
          <w:tcPr>
            <w:tcW w:w="1078"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865</w:t>
            </w:r>
          </w:p>
        </w:tc>
        <w:tc>
          <w:tcPr>
            <w:tcW w:w="1702"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4.9</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667"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16</w:t>
            </w:r>
          </w:p>
        </w:tc>
        <w:tc>
          <w:tcPr>
            <w:tcW w:w="3058" w:type="dxa"/>
            <w:noWrap w:val="0"/>
            <w:tcMar>
              <w:top w:w="0" w:type="dxa"/>
              <w:left w:w="85" w:type="dxa"/>
              <w:bottom w:w="0" w:type="dxa"/>
              <w:right w:w="85" w:type="dxa"/>
            </w:tcMar>
            <w:vAlign w:val="center"/>
          </w:tcPr>
          <w:p>
            <w:pPr>
              <w:rPr>
                <w:rFonts w:hint="eastAsia" w:eastAsia="方正书宋_GBK"/>
                <w:sz w:val="24"/>
                <w:szCs w:val="24"/>
              </w:rPr>
            </w:pPr>
            <w:r>
              <w:rPr>
                <w:rFonts w:hint="eastAsia" w:eastAsia="方正书宋_GBK"/>
                <w:sz w:val="24"/>
                <w:szCs w:val="24"/>
              </w:rPr>
              <w:t>水电</w:t>
            </w:r>
          </w:p>
        </w:tc>
        <w:tc>
          <w:tcPr>
            <w:tcW w:w="1126"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亿千瓦时</w:t>
            </w:r>
          </w:p>
        </w:tc>
        <w:tc>
          <w:tcPr>
            <w:tcW w:w="1203"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229.44</w:t>
            </w:r>
          </w:p>
        </w:tc>
        <w:tc>
          <w:tcPr>
            <w:tcW w:w="1078"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281</w:t>
            </w:r>
          </w:p>
        </w:tc>
        <w:tc>
          <w:tcPr>
            <w:tcW w:w="1702"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4.1</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667"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17</w:t>
            </w:r>
          </w:p>
        </w:tc>
        <w:tc>
          <w:tcPr>
            <w:tcW w:w="3058" w:type="dxa"/>
            <w:noWrap w:val="0"/>
            <w:tcMar>
              <w:top w:w="0" w:type="dxa"/>
              <w:left w:w="85" w:type="dxa"/>
              <w:bottom w:w="0" w:type="dxa"/>
              <w:right w:w="85" w:type="dxa"/>
            </w:tcMar>
            <w:vAlign w:val="center"/>
          </w:tcPr>
          <w:p>
            <w:pPr>
              <w:rPr>
                <w:rFonts w:hint="eastAsia" w:eastAsia="方正书宋_GBK"/>
                <w:sz w:val="24"/>
                <w:szCs w:val="24"/>
              </w:rPr>
            </w:pPr>
            <w:r>
              <w:rPr>
                <w:rFonts w:hint="eastAsia" w:eastAsia="方正书宋_GBK"/>
                <w:sz w:val="24"/>
                <w:szCs w:val="24"/>
              </w:rPr>
              <w:t>火电</w:t>
            </w:r>
          </w:p>
        </w:tc>
        <w:tc>
          <w:tcPr>
            <w:tcW w:w="1126"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亿千瓦时</w:t>
            </w:r>
          </w:p>
        </w:tc>
        <w:tc>
          <w:tcPr>
            <w:tcW w:w="1203"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450.29</w:t>
            </w:r>
          </w:p>
        </w:tc>
        <w:tc>
          <w:tcPr>
            <w:tcW w:w="1078"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566</w:t>
            </w:r>
          </w:p>
        </w:tc>
        <w:tc>
          <w:tcPr>
            <w:tcW w:w="1702"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4.7</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667"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18</w:t>
            </w:r>
          </w:p>
        </w:tc>
        <w:tc>
          <w:tcPr>
            <w:tcW w:w="3058" w:type="dxa"/>
            <w:noWrap w:val="0"/>
            <w:tcMar>
              <w:top w:w="0" w:type="dxa"/>
              <w:left w:w="85" w:type="dxa"/>
              <w:bottom w:w="0" w:type="dxa"/>
              <w:right w:w="85" w:type="dxa"/>
            </w:tcMar>
            <w:vAlign w:val="center"/>
          </w:tcPr>
          <w:p>
            <w:pPr>
              <w:rPr>
                <w:rFonts w:hint="eastAsia" w:eastAsia="方正书宋_GBK"/>
                <w:sz w:val="24"/>
                <w:szCs w:val="24"/>
              </w:rPr>
            </w:pPr>
            <w:r>
              <w:rPr>
                <w:rFonts w:hint="eastAsia" w:eastAsia="方正书宋_GBK"/>
                <w:sz w:val="24"/>
                <w:szCs w:val="24"/>
              </w:rPr>
              <w:t>单位GDP能耗下降率</w:t>
            </w:r>
          </w:p>
        </w:tc>
        <w:tc>
          <w:tcPr>
            <w:tcW w:w="1126"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1203"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1078"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1702"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[19.4]</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667"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19</w:t>
            </w:r>
          </w:p>
        </w:tc>
        <w:tc>
          <w:tcPr>
            <w:tcW w:w="3058" w:type="dxa"/>
            <w:noWrap w:val="0"/>
            <w:tcMar>
              <w:top w:w="0" w:type="dxa"/>
              <w:left w:w="85" w:type="dxa"/>
              <w:bottom w:w="0" w:type="dxa"/>
              <w:right w:w="85" w:type="dxa"/>
            </w:tcMar>
            <w:vAlign w:val="center"/>
          </w:tcPr>
          <w:p>
            <w:pPr>
              <w:rPr>
                <w:rFonts w:hint="eastAsia" w:eastAsia="方正书宋_GBK"/>
                <w:sz w:val="24"/>
                <w:szCs w:val="24"/>
              </w:rPr>
            </w:pPr>
            <w:r>
              <w:rPr>
                <w:rFonts w:hint="eastAsia" w:eastAsia="方正书宋_GBK"/>
                <w:sz w:val="24"/>
                <w:szCs w:val="24"/>
              </w:rPr>
              <w:t>煤电供电煤耗</w:t>
            </w:r>
          </w:p>
        </w:tc>
        <w:tc>
          <w:tcPr>
            <w:tcW w:w="1126"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克/千瓦时</w:t>
            </w:r>
          </w:p>
        </w:tc>
        <w:tc>
          <w:tcPr>
            <w:tcW w:w="1203"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330</w:t>
            </w:r>
          </w:p>
        </w:tc>
        <w:tc>
          <w:tcPr>
            <w:tcW w:w="1078"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311</w:t>
            </w:r>
          </w:p>
        </w:tc>
        <w:tc>
          <w:tcPr>
            <w:tcW w:w="1702"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-1.2</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667"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20</w:t>
            </w:r>
          </w:p>
        </w:tc>
        <w:tc>
          <w:tcPr>
            <w:tcW w:w="3058" w:type="dxa"/>
            <w:noWrap w:val="0"/>
            <w:tcMar>
              <w:top w:w="0" w:type="dxa"/>
              <w:left w:w="85" w:type="dxa"/>
              <w:bottom w:w="0" w:type="dxa"/>
              <w:right w:w="85" w:type="dxa"/>
            </w:tcMar>
            <w:vAlign w:val="center"/>
          </w:tcPr>
          <w:p>
            <w:pPr>
              <w:rPr>
                <w:rFonts w:hint="eastAsia" w:eastAsia="方正书宋_GBK"/>
                <w:sz w:val="24"/>
                <w:szCs w:val="24"/>
              </w:rPr>
            </w:pPr>
            <w:r>
              <w:rPr>
                <w:rFonts w:hint="eastAsia" w:eastAsia="方正书宋_GBK"/>
                <w:sz w:val="24"/>
                <w:szCs w:val="24"/>
              </w:rPr>
              <w:t>电网综合网损率</w:t>
            </w:r>
          </w:p>
        </w:tc>
        <w:tc>
          <w:tcPr>
            <w:tcW w:w="1126"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1203"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7.13</w:t>
            </w:r>
          </w:p>
        </w:tc>
        <w:tc>
          <w:tcPr>
            <w:tcW w:w="1078"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5.2</w:t>
            </w:r>
          </w:p>
        </w:tc>
        <w:tc>
          <w:tcPr>
            <w:tcW w:w="1702"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[-1.93]</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667"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21</w:t>
            </w:r>
          </w:p>
        </w:tc>
        <w:tc>
          <w:tcPr>
            <w:tcW w:w="3058" w:type="dxa"/>
            <w:noWrap w:val="0"/>
            <w:tcMar>
              <w:top w:w="0" w:type="dxa"/>
              <w:left w:w="85" w:type="dxa"/>
              <w:bottom w:w="0" w:type="dxa"/>
              <w:right w:w="85" w:type="dxa"/>
            </w:tcMar>
            <w:vAlign w:val="center"/>
          </w:tcPr>
          <w:p>
            <w:pPr>
              <w:rPr>
                <w:rFonts w:hint="eastAsia" w:eastAsia="方正书宋_GBK"/>
                <w:sz w:val="24"/>
                <w:szCs w:val="24"/>
              </w:rPr>
            </w:pPr>
            <w:r>
              <w:rPr>
                <w:rFonts w:hint="eastAsia" w:eastAsia="方正书宋_GBK"/>
                <w:sz w:val="24"/>
                <w:szCs w:val="24"/>
              </w:rPr>
              <w:t>单位GDP二氧化碳排放下降率</w:t>
            </w:r>
          </w:p>
        </w:tc>
        <w:tc>
          <w:tcPr>
            <w:tcW w:w="1126"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1203"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1078"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1702"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[23]</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667"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22</w:t>
            </w:r>
          </w:p>
        </w:tc>
        <w:tc>
          <w:tcPr>
            <w:tcW w:w="3058" w:type="dxa"/>
            <w:noWrap w:val="0"/>
            <w:tcMar>
              <w:top w:w="0" w:type="dxa"/>
              <w:left w:w="85" w:type="dxa"/>
              <w:bottom w:w="0" w:type="dxa"/>
              <w:right w:w="85" w:type="dxa"/>
            </w:tcMar>
            <w:vAlign w:val="center"/>
          </w:tcPr>
          <w:p>
            <w:pPr>
              <w:rPr>
                <w:rFonts w:hint="eastAsia" w:eastAsia="方正书宋_GBK"/>
                <w:sz w:val="24"/>
                <w:szCs w:val="24"/>
              </w:rPr>
            </w:pPr>
            <w:r>
              <w:rPr>
                <w:rFonts w:hint="eastAsia" w:eastAsia="方正书宋_GBK"/>
                <w:sz w:val="24"/>
                <w:szCs w:val="24"/>
              </w:rPr>
              <w:t>居民人均生活用电量</w:t>
            </w:r>
          </w:p>
        </w:tc>
        <w:tc>
          <w:tcPr>
            <w:tcW w:w="1126"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千瓦时</w:t>
            </w:r>
          </w:p>
        </w:tc>
        <w:tc>
          <w:tcPr>
            <w:tcW w:w="1203"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455.02</w:t>
            </w:r>
          </w:p>
        </w:tc>
        <w:tc>
          <w:tcPr>
            <w:tcW w:w="1078"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689</w:t>
            </w:r>
          </w:p>
        </w:tc>
        <w:tc>
          <w:tcPr>
            <w:tcW w:w="1702"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9.0</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667"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23</w:t>
            </w:r>
          </w:p>
        </w:tc>
        <w:tc>
          <w:tcPr>
            <w:tcW w:w="3058" w:type="dxa"/>
            <w:noWrap w:val="0"/>
            <w:tcMar>
              <w:top w:w="0" w:type="dxa"/>
              <w:left w:w="85" w:type="dxa"/>
              <w:bottom w:w="0" w:type="dxa"/>
              <w:right w:w="85" w:type="dxa"/>
            </w:tcMar>
            <w:vAlign w:val="center"/>
          </w:tcPr>
          <w:p>
            <w:pPr>
              <w:rPr>
                <w:rFonts w:hint="eastAsia" w:eastAsia="方正书宋_GBK"/>
                <w:sz w:val="24"/>
                <w:szCs w:val="24"/>
              </w:rPr>
            </w:pPr>
            <w:r>
              <w:rPr>
                <w:rFonts w:hint="eastAsia" w:eastAsia="方正书宋_GBK"/>
                <w:sz w:val="24"/>
                <w:szCs w:val="24"/>
              </w:rPr>
              <w:t>城镇居民天然气普及率</w:t>
            </w:r>
          </w:p>
        </w:tc>
        <w:tc>
          <w:tcPr>
            <w:tcW w:w="1126"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1203"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97.4</w:t>
            </w:r>
          </w:p>
        </w:tc>
        <w:tc>
          <w:tcPr>
            <w:tcW w:w="1078"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98.5</w:t>
            </w:r>
          </w:p>
        </w:tc>
        <w:tc>
          <w:tcPr>
            <w:tcW w:w="1702"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[1.1]</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667"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24</w:t>
            </w:r>
          </w:p>
        </w:tc>
        <w:tc>
          <w:tcPr>
            <w:tcW w:w="3058" w:type="dxa"/>
            <w:noWrap w:val="0"/>
            <w:tcMar>
              <w:top w:w="0" w:type="dxa"/>
              <w:left w:w="85" w:type="dxa"/>
              <w:bottom w:w="0" w:type="dxa"/>
              <w:right w:w="85" w:type="dxa"/>
            </w:tcMar>
            <w:vAlign w:val="center"/>
          </w:tcPr>
          <w:p>
            <w:pPr>
              <w:rPr>
                <w:rFonts w:hint="eastAsia" w:eastAsia="方正书宋_GBK"/>
                <w:sz w:val="24"/>
                <w:szCs w:val="24"/>
              </w:rPr>
            </w:pPr>
            <w:r>
              <w:rPr>
                <w:rFonts w:hint="eastAsia" w:eastAsia="方正书宋_GBK"/>
                <w:sz w:val="24"/>
                <w:szCs w:val="24"/>
              </w:rPr>
              <w:t>配电网供电可靠率</w:t>
            </w:r>
          </w:p>
        </w:tc>
        <w:tc>
          <w:tcPr>
            <w:tcW w:w="1126"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1203"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1078" w:type="dxa"/>
            <w:noWrap w:val="0"/>
            <w:tcMar>
              <w:top w:w="0" w:type="dxa"/>
              <w:left w:w="85" w:type="dxa"/>
              <w:bottom w:w="0" w:type="dxa"/>
              <w:right w:w="85" w:type="dxa"/>
            </w:tcMar>
            <w:vAlign w:val="center"/>
          </w:tcPr>
          <w:p>
            <w:pPr>
              <w:jc w:val="center"/>
              <w:rPr>
                <w:rFonts w:hint="eastAsia" w:eastAsia="方正书宋_GBK"/>
                <w:sz w:val="24"/>
                <w:szCs w:val="24"/>
              </w:rPr>
            </w:pPr>
            <w:r>
              <w:rPr>
                <w:rFonts w:hint="eastAsia" w:eastAsia="方正书宋_GBK"/>
                <w:sz w:val="24"/>
                <w:szCs w:val="24"/>
              </w:rPr>
              <w:t>99.868</w:t>
            </w:r>
          </w:p>
        </w:tc>
        <w:tc>
          <w:tcPr>
            <w:tcW w:w="1702" w:type="dxa"/>
            <w:noWrap w:val="0"/>
            <w:tcMar>
              <w:top w:w="0" w:type="dxa"/>
              <w:left w:w="85" w:type="dxa"/>
              <w:bottom w:w="0" w:type="dxa"/>
              <w:right w:w="85" w:type="dxa"/>
            </w:tcMar>
            <w:vAlign w:val="center"/>
          </w:tcPr>
          <w:p>
            <w:pPr>
              <w:jc w:val="center"/>
              <w:rPr>
                <w:rFonts w:hint="eastAsia" w:eastAsia="方正书宋_GBK"/>
                <w:sz w:val="24"/>
                <w:szCs w:val="24"/>
              </w:rPr>
            </w:pPr>
          </w:p>
        </w:tc>
      </w:tr>
    </w:tbl>
    <w:p>
      <w:pPr>
        <w:spacing w:line="420" w:lineRule="exact"/>
        <w:rPr>
          <w:rFonts w:hint="eastAsia" w:eastAsia="方正书宋_GBK"/>
          <w:sz w:val="24"/>
          <w:szCs w:val="24"/>
        </w:rPr>
      </w:pPr>
      <w:r>
        <w:rPr>
          <w:rFonts w:hint="eastAsia" w:eastAsia="方正黑体_GBK"/>
          <w:sz w:val="24"/>
          <w:szCs w:val="24"/>
        </w:rPr>
        <w:t>注：</w:t>
      </w:r>
      <w:r>
        <w:rPr>
          <w:rFonts w:hint="eastAsia" w:eastAsia="方正书宋_GBK"/>
          <w:sz w:val="24"/>
          <w:szCs w:val="24"/>
        </w:rPr>
        <w:t>1．现状数据以统计公布数据为准。</w:t>
      </w:r>
    </w:p>
    <w:p>
      <w:pPr>
        <w:spacing w:line="420" w:lineRule="exact"/>
        <w:ind w:firstLine="472" w:firstLineChars="200"/>
        <w:rPr>
          <w:rFonts w:hint="eastAsia" w:eastAsia="方正书宋_GBK"/>
          <w:sz w:val="24"/>
          <w:szCs w:val="24"/>
        </w:rPr>
      </w:pPr>
      <w:r>
        <w:rPr>
          <w:rFonts w:hint="eastAsia" w:eastAsia="方正书宋_GBK"/>
          <w:sz w:val="24"/>
          <w:szCs w:val="24"/>
        </w:rPr>
        <w:t>2．[ ]内为五年累计数。</w:t>
      </w:r>
    </w:p>
    <w:p>
      <w:pPr>
        <w:spacing w:line="420" w:lineRule="exact"/>
        <w:ind w:firstLine="472" w:firstLineChars="200"/>
        <w:rPr>
          <w:rFonts w:hint="eastAsia" w:eastAsia="方正书宋_GBK"/>
          <w:sz w:val="24"/>
          <w:szCs w:val="24"/>
        </w:rPr>
      </w:pPr>
      <w:r>
        <w:rPr>
          <w:rFonts w:hint="eastAsia" w:eastAsia="方正书宋_GBK"/>
          <w:sz w:val="24"/>
          <w:szCs w:val="24"/>
        </w:rPr>
        <w:t>3．能源消费分类中未单列外来火电及其他能源消费情况。</w:t>
      </w:r>
    </w:p>
    <w:p>
      <w:pPr>
        <w:adjustRightInd/>
        <w:spacing w:line="240" w:lineRule="auto"/>
        <w:ind w:firstLine="632" w:firstLineChars="200"/>
        <w:textAlignment w:val="auto"/>
        <w:rPr>
          <w:rFonts w:hint="eastAsia"/>
        </w:rPr>
      </w:pPr>
      <w:r>
        <w:rPr>
          <w:rFonts w:hint="eastAsia"/>
        </w:rPr>
        <w:t>“十四五”时期，我国将迈入新阶段、开启新征程，重庆市将立足新发展阶段，完整、准确、全面贯彻新发展理念，积极融入和服务新发展格局，谱写高质量发展的新篇章，对能源保障能力和水平提出更高要求。同时，“十四五”时期也是推进我国碳达峰碳中和的第一个五年，能源低碳转型进入碳达峰关键期，全市能源结构调整面临更大挑战。</w:t>
      </w:r>
    </w:p>
    <w:p>
      <w:pPr>
        <w:adjustRightInd/>
        <w:spacing w:line="240" w:lineRule="auto"/>
        <w:ind w:firstLine="632" w:firstLineChars="200"/>
        <w:textAlignment w:val="auto"/>
        <w:rPr>
          <w:rFonts w:hint="eastAsia"/>
        </w:rPr>
      </w:pPr>
      <w:r>
        <w:rPr>
          <w:rFonts w:hint="eastAsia"/>
        </w:rPr>
        <w:t>未来五年，新一轮科技革命和产业变革将推动能源产业全面升级，在催生新产业新模式新业态，为能源发展提供新机遇的同时，能源供给与发展需求的矛盾也将日益凸显：全市能源对外依存度不断攀升，省际受电、运煤通道不足，将增大能源保供压力；常规水电资源开发殆尽、风光资源有限，将制约能源结构调整步伐；能源储备、调峰能力不足，将加大对外资源协调与市内生产组织平衡难度。</w:t>
      </w:r>
    </w:p>
    <w:p>
      <w:pPr>
        <w:adjustRightInd/>
        <w:spacing w:line="240" w:lineRule="auto"/>
        <w:ind w:firstLine="632" w:firstLineChars="200"/>
        <w:textAlignment w:val="auto"/>
        <w:rPr>
          <w:rFonts w:hint="eastAsia" w:eastAsia="方正黑体_GBK"/>
        </w:rPr>
      </w:pPr>
      <w:r>
        <w:rPr>
          <w:rFonts w:hint="eastAsia" w:eastAsia="方正黑体_GBK"/>
        </w:rPr>
        <w:t>二、总体要求和主要目标</w:t>
      </w:r>
    </w:p>
    <w:p>
      <w:pPr>
        <w:adjustRightInd/>
        <w:spacing w:line="240" w:lineRule="auto"/>
        <w:ind w:firstLine="632" w:firstLineChars="200"/>
        <w:textAlignment w:val="auto"/>
        <w:rPr>
          <w:rFonts w:hint="eastAsia" w:eastAsia="方正楷体_GBK"/>
        </w:rPr>
      </w:pPr>
      <w:r>
        <w:rPr>
          <w:rFonts w:hint="eastAsia" w:eastAsia="方正楷体_GBK"/>
        </w:rPr>
        <w:t>（一）指导思想。</w:t>
      </w:r>
    </w:p>
    <w:p>
      <w:pPr>
        <w:adjustRightInd/>
        <w:spacing w:line="240" w:lineRule="auto"/>
        <w:ind w:firstLine="632" w:firstLineChars="200"/>
        <w:textAlignment w:val="auto"/>
        <w:rPr>
          <w:rFonts w:hint="eastAsia"/>
        </w:rPr>
      </w:pPr>
      <w:r>
        <w:rPr>
          <w:rFonts w:hint="eastAsia"/>
        </w:rPr>
        <w:t>以习近平新时代中国特色社会主义思想为指导，深入贯彻党的十九大和十九届历次全会精神，全面落实习近平总书记对重庆提出的营造良好政治生态，坚持“两点”定位、“两地”“两高”目标，发挥“三个作用”和推动成渝地区双城经济圈建设等重要指示要求，紧扣碳达峰碳中和目标，以推动高质量发展为主题，以改革创新为根本动力，以满足经济社会发展和人民日益增长的美好生活需要为根本目的，提升能源安全保障能力、加快绿色转型发展并重，着力提高能源产业链现代化水平，加快构建清洁低碳、安全高效的现代能源体系，为开启全面建设社会主义现代化新征程提供坚实的能源保障。</w:t>
      </w:r>
    </w:p>
    <w:p>
      <w:pPr>
        <w:adjustRightInd/>
        <w:spacing w:line="240" w:lineRule="auto"/>
        <w:ind w:firstLine="632" w:firstLineChars="200"/>
        <w:textAlignment w:val="auto"/>
        <w:rPr>
          <w:rFonts w:hint="eastAsia" w:eastAsia="方正楷体_GBK"/>
        </w:rPr>
      </w:pPr>
      <w:r>
        <w:rPr>
          <w:rFonts w:hint="eastAsia" w:eastAsia="方正楷体_GBK"/>
        </w:rPr>
        <w:t>（二）基本原则。</w:t>
      </w:r>
    </w:p>
    <w:p>
      <w:pPr>
        <w:adjustRightInd/>
        <w:spacing w:line="240" w:lineRule="auto"/>
        <w:ind w:firstLine="632" w:firstLineChars="200"/>
        <w:textAlignment w:val="auto"/>
        <w:rPr>
          <w:rFonts w:hint="eastAsia"/>
        </w:rPr>
      </w:pPr>
      <w:r>
        <w:rPr>
          <w:rFonts w:hint="eastAsia"/>
        </w:rPr>
        <w:t>坚持生态优先，绿色低碳。围绕碳达峰碳中和目标，推动能源清洁高效开发、能源生产低碳转型发展，推动能源利用和消费方式根本性转变。</w:t>
      </w:r>
    </w:p>
    <w:p>
      <w:pPr>
        <w:adjustRightInd/>
        <w:spacing w:line="240" w:lineRule="auto"/>
        <w:ind w:firstLine="632" w:firstLineChars="200"/>
        <w:textAlignment w:val="auto"/>
        <w:rPr>
          <w:rFonts w:hint="eastAsia"/>
        </w:rPr>
      </w:pPr>
      <w:r>
        <w:rPr>
          <w:rFonts w:hint="eastAsia"/>
        </w:rPr>
        <w:t>坚持系统优化，安全高效。把握能源的整体性、系统性特点，统筹处理好局部和全局、当前和长远、主要与次要的关系，统筹产供储销各环节，增强系统运行和资源配置效率。</w:t>
      </w:r>
    </w:p>
    <w:p>
      <w:pPr>
        <w:adjustRightInd/>
        <w:spacing w:line="240" w:lineRule="auto"/>
        <w:ind w:firstLine="632" w:firstLineChars="200"/>
        <w:textAlignment w:val="auto"/>
        <w:rPr>
          <w:rFonts w:hint="eastAsia"/>
        </w:rPr>
      </w:pPr>
      <w:r>
        <w:rPr>
          <w:rFonts w:hint="eastAsia"/>
        </w:rPr>
        <w:t>坚持创新驱动，智慧融合。把创新作为推动能源发展的第一动力，着力提升能源科技创新能力，加快能源产业数字化和智能化升级，加快能源领域关键核心技术攻关和成熟先进技术的产业化推广应用，提升能源产业链现代化水平。</w:t>
      </w:r>
    </w:p>
    <w:p>
      <w:pPr>
        <w:adjustRightInd/>
        <w:spacing w:line="240" w:lineRule="auto"/>
        <w:ind w:firstLine="632" w:firstLineChars="200"/>
        <w:textAlignment w:val="auto"/>
        <w:rPr>
          <w:rFonts w:hint="eastAsia"/>
        </w:rPr>
      </w:pPr>
      <w:r>
        <w:rPr>
          <w:rFonts w:hint="eastAsia"/>
        </w:rPr>
        <w:t>坚持深化改革，扩大开放。加快重点领域和关键环节改革步伐，充分发挥市场在资源配置中的决定性作用，更好发挥政府作用，破除制约能源高质量发展的体制机制障碍，实施更大范围、更宽领域、更深层次的对外开放和区域合作。</w:t>
      </w:r>
    </w:p>
    <w:p>
      <w:pPr>
        <w:adjustRightInd/>
        <w:spacing w:line="240" w:lineRule="auto"/>
        <w:ind w:firstLine="632" w:firstLineChars="200"/>
        <w:textAlignment w:val="auto"/>
        <w:rPr>
          <w:rFonts w:hint="eastAsia"/>
        </w:rPr>
      </w:pPr>
      <w:r>
        <w:rPr>
          <w:rFonts w:hint="eastAsia"/>
        </w:rPr>
        <w:t>坚持服务民生，共享发展。坚持以人民为中心，有效提升能源普遍服务水平。强化能源民生保障，推动能源发展成果更多更</w:t>
      </w:r>
      <w:r>
        <w:rPr>
          <w:rFonts w:hint="eastAsia"/>
          <w:spacing w:val="-4"/>
        </w:rPr>
        <w:t>好满足人民日益增长的美好生活需要，助力城市建设和乡村振兴，</w:t>
      </w:r>
      <w:r>
        <w:rPr>
          <w:rFonts w:hint="eastAsia"/>
        </w:rPr>
        <w:t>提升发展共享水平。</w:t>
      </w:r>
    </w:p>
    <w:p>
      <w:pPr>
        <w:adjustRightInd/>
        <w:spacing w:line="240" w:lineRule="auto"/>
        <w:ind w:firstLine="632" w:firstLineChars="200"/>
        <w:textAlignment w:val="auto"/>
        <w:rPr>
          <w:rFonts w:hint="eastAsia" w:eastAsia="方正楷体_GBK"/>
        </w:rPr>
      </w:pPr>
      <w:r>
        <w:rPr>
          <w:rFonts w:hint="eastAsia" w:eastAsia="方正楷体_GBK"/>
        </w:rPr>
        <w:t>（三）发展目标。</w:t>
      </w:r>
    </w:p>
    <w:p>
      <w:pPr>
        <w:adjustRightInd/>
        <w:spacing w:line="240" w:lineRule="auto"/>
        <w:ind w:firstLine="632" w:firstLineChars="200"/>
        <w:textAlignment w:val="auto"/>
        <w:rPr>
          <w:rFonts w:hint="eastAsia"/>
        </w:rPr>
      </w:pPr>
      <w:r>
        <w:rPr>
          <w:rFonts w:hint="eastAsia"/>
        </w:rPr>
        <w:t>能源</w:t>
      </w:r>
      <w:r>
        <w:rPr>
          <w:rFonts w:hint="eastAsia"/>
          <w:spacing w:val="-4"/>
        </w:rPr>
        <w:t>保障安全有力。到2025年，煤炭供应保障能力达到5000</w:t>
      </w:r>
      <w:r>
        <w:rPr>
          <w:rFonts w:hint="eastAsia"/>
        </w:rPr>
        <w:t>万吨；电力装机容量达到3650万千瓦，全社会用电量达到1620亿千瓦时；常规天然气、页岩气产量分别达到50亿立方米、135亿立方米；成品油供应能力达到1050万吨；能源储备体系进一步完善，应急保供能力进一步增强。</w:t>
      </w:r>
    </w:p>
    <w:p>
      <w:pPr>
        <w:adjustRightInd/>
        <w:spacing w:line="240" w:lineRule="auto"/>
        <w:ind w:firstLine="632" w:firstLineChars="200"/>
        <w:textAlignment w:val="auto"/>
        <w:rPr>
          <w:rFonts w:hint="eastAsia"/>
        </w:rPr>
      </w:pPr>
      <w:r>
        <w:rPr>
          <w:rFonts w:hint="eastAsia"/>
        </w:rPr>
        <w:t>能源绿色转型成效显著。到2025年，可再生能源电力消纳总量责任权重达到国家下达计划指标，非化石能源消费比重提高到25%；煤炭消费比重降低至40%，石油消费比重保持在15%，天然气消费比重达到20%。</w:t>
      </w:r>
    </w:p>
    <w:p>
      <w:pPr>
        <w:adjustRightInd/>
        <w:spacing w:line="240" w:lineRule="auto"/>
        <w:ind w:firstLine="632" w:firstLineChars="200"/>
        <w:textAlignment w:val="auto"/>
        <w:rPr>
          <w:rFonts w:hint="eastAsia"/>
        </w:rPr>
      </w:pPr>
      <w:r>
        <w:rPr>
          <w:rFonts w:hint="eastAsia"/>
        </w:rPr>
        <w:t>能源利用效率大幅提高。单位GDP能耗下降指标达到国家要求；火电平均供电煤耗控制在300克标煤/千瓦时以下，电网综合线损率控制在4.8%以下；建成多元融合高弹性电网，配电网供电可靠率在99.893%以上。</w:t>
      </w:r>
    </w:p>
    <w:p>
      <w:pPr>
        <w:adjustRightInd/>
        <w:spacing w:line="240" w:lineRule="auto"/>
        <w:ind w:firstLine="632" w:firstLineChars="200"/>
        <w:textAlignment w:val="auto"/>
        <w:rPr>
          <w:rFonts w:hint="eastAsia"/>
        </w:rPr>
      </w:pPr>
      <w:r>
        <w:rPr>
          <w:rFonts w:hint="eastAsia"/>
        </w:rPr>
        <w:t>普遍服务水平持续提升。到2025年，完成老旧居民小区供电设施改造，实现“一户一表”全覆盖，居民人均生活用电量达900千瓦时以上；城镇居民天然气普及率达99.0%以上；推进农村用能供应方式多元化体系建设，提升乡村清洁能源保障能力。</w:t>
      </w:r>
    </w:p>
    <w:p>
      <w:pPr>
        <w:jc w:val="center"/>
        <w:rPr>
          <w:rFonts w:hint="eastAsia" w:eastAsia="方正黑体_GBK"/>
        </w:rPr>
      </w:pPr>
      <w:r>
        <w:rPr>
          <w:rFonts w:hint="eastAsia" w:eastAsia="方正黑体_GBK"/>
        </w:rPr>
        <w:t>专栏2  “十四五”能源发展规划主要指标</w:t>
      </w:r>
    </w:p>
    <w:tbl>
      <w:tblPr>
        <w:tblStyle w:val="6"/>
        <w:tblW w:w="8806" w:type="dxa"/>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1135"/>
        <w:gridCol w:w="2576"/>
        <w:gridCol w:w="1148"/>
        <w:gridCol w:w="951"/>
        <w:gridCol w:w="952"/>
        <w:gridCol w:w="1120"/>
        <w:gridCol w:w="924"/>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425" w:hRule="atLeast"/>
          <w:tblHeader/>
          <w:jc w:val="center"/>
        </w:trPr>
        <w:tc>
          <w:tcPr>
            <w:tcW w:w="1135" w:type="dxa"/>
            <w:noWrap w:val="0"/>
            <w:tcMar>
              <w:left w:w="85" w:type="dxa"/>
              <w:right w:w="85" w:type="dxa"/>
            </w:tcMar>
            <w:vAlign w:val="center"/>
          </w:tcPr>
          <w:p>
            <w:pPr>
              <w:jc w:val="center"/>
              <w:rPr>
                <w:rFonts w:hint="eastAsia" w:eastAsia="方正黑体_GBK"/>
                <w:sz w:val="24"/>
                <w:szCs w:val="24"/>
              </w:rPr>
            </w:pPr>
            <w:r>
              <w:rPr>
                <w:rFonts w:hint="eastAsia" w:eastAsia="方正黑体_GBK"/>
                <w:sz w:val="24"/>
                <w:szCs w:val="24"/>
              </w:rPr>
              <w:t>目标</w:t>
            </w:r>
          </w:p>
        </w:tc>
        <w:tc>
          <w:tcPr>
            <w:tcW w:w="2576" w:type="dxa"/>
            <w:noWrap w:val="0"/>
            <w:tcMar>
              <w:left w:w="85" w:type="dxa"/>
              <w:right w:w="85" w:type="dxa"/>
            </w:tcMar>
            <w:vAlign w:val="center"/>
          </w:tcPr>
          <w:p>
            <w:pPr>
              <w:jc w:val="center"/>
              <w:rPr>
                <w:rFonts w:hint="eastAsia" w:eastAsia="方正黑体_GBK"/>
                <w:sz w:val="24"/>
                <w:szCs w:val="24"/>
              </w:rPr>
            </w:pPr>
            <w:r>
              <w:rPr>
                <w:rFonts w:hint="eastAsia" w:eastAsia="方正黑体_GBK"/>
                <w:sz w:val="24"/>
                <w:szCs w:val="24"/>
              </w:rPr>
              <w:t>指标名称</w:t>
            </w:r>
          </w:p>
        </w:tc>
        <w:tc>
          <w:tcPr>
            <w:tcW w:w="1148" w:type="dxa"/>
            <w:noWrap w:val="0"/>
            <w:tcMar>
              <w:left w:w="85" w:type="dxa"/>
              <w:right w:w="85" w:type="dxa"/>
            </w:tcMar>
            <w:vAlign w:val="center"/>
          </w:tcPr>
          <w:p>
            <w:pPr>
              <w:jc w:val="center"/>
              <w:rPr>
                <w:rFonts w:hint="eastAsia" w:eastAsia="方正黑体_GBK"/>
                <w:sz w:val="24"/>
                <w:szCs w:val="24"/>
              </w:rPr>
            </w:pPr>
            <w:r>
              <w:rPr>
                <w:rFonts w:hint="eastAsia" w:eastAsia="方正黑体_GBK"/>
                <w:sz w:val="24"/>
                <w:szCs w:val="24"/>
              </w:rPr>
              <w:t>单位</w:t>
            </w:r>
          </w:p>
        </w:tc>
        <w:tc>
          <w:tcPr>
            <w:tcW w:w="951" w:type="dxa"/>
            <w:noWrap w:val="0"/>
            <w:tcMar>
              <w:left w:w="85" w:type="dxa"/>
              <w:right w:w="85" w:type="dxa"/>
            </w:tcMar>
            <w:vAlign w:val="center"/>
          </w:tcPr>
          <w:p>
            <w:pPr>
              <w:jc w:val="center"/>
              <w:rPr>
                <w:rFonts w:hint="eastAsia" w:eastAsia="方正黑体_GBK"/>
                <w:sz w:val="24"/>
                <w:szCs w:val="24"/>
              </w:rPr>
            </w:pPr>
            <w:r>
              <w:rPr>
                <w:rFonts w:hint="eastAsia" w:eastAsia="方正黑体_GBK"/>
                <w:sz w:val="24"/>
                <w:szCs w:val="24"/>
              </w:rPr>
              <w:t>属性</w:t>
            </w:r>
          </w:p>
        </w:tc>
        <w:tc>
          <w:tcPr>
            <w:tcW w:w="952" w:type="dxa"/>
            <w:noWrap w:val="0"/>
            <w:tcMar>
              <w:left w:w="85" w:type="dxa"/>
              <w:right w:w="85" w:type="dxa"/>
            </w:tcMar>
            <w:vAlign w:val="center"/>
          </w:tcPr>
          <w:p>
            <w:pPr>
              <w:jc w:val="center"/>
              <w:rPr>
                <w:rFonts w:hint="eastAsia" w:eastAsia="方正黑体_GBK"/>
                <w:sz w:val="24"/>
                <w:szCs w:val="24"/>
              </w:rPr>
            </w:pPr>
            <w:r>
              <w:rPr>
                <w:rFonts w:hint="eastAsia" w:eastAsia="方正黑体_GBK"/>
                <w:sz w:val="24"/>
                <w:szCs w:val="24"/>
              </w:rPr>
              <w:t>2020年</w:t>
            </w:r>
          </w:p>
        </w:tc>
        <w:tc>
          <w:tcPr>
            <w:tcW w:w="1120" w:type="dxa"/>
            <w:noWrap w:val="0"/>
            <w:tcMar>
              <w:left w:w="85" w:type="dxa"/>
              <w:right w:w="85" w:type="dxa"/>
            </w:tcMar>
            <w:vAlign w:val="center"/>
          </w:tcPr>
          <w:p>
            <w:pPr>
              <w:jc w:val="center"/>
              <w:rPr>
                <w:rFonts w:hint="eastAsia" w:eastAsia="方正黑体_GBK"/>
                <w:sz w:val="24"/>
                <w:szCs w:val="24"/>
              </w:rPr>
            </w:pPr>
            <w:r>
              <w:rPr>
                <w:rFonts w:hint="eastAsia" w:eastAsia="方正黑体_GBK"/>
                <w:sz w:val="24"/>
                <w:szCs w:val="24"/>
              </w:rPr>
              <w:t>2025年</w:t>
            </w:r>
          </w:p>
        </w:tc>
        <w:tc>
          <w:tcPr>
            <w:tcW w:w="924" w:type="dxa"/>
            <w:noWrap w:val="0"/>
            <w:tcMar>
              <w:left w:w="85" w:type="dxa"/>
              <w:right w:w="85" w:type="dxa"/>
            </w:tcMar>
            <w:vAlign w:val="center"/>
          </w:tcPr>
          <w:p>
            <w:pPr>
              <w:jc w:val="center"/>
              <w:rPr>
                <w:rFonts w:hint="eastAsia" w:eastAsia="方正黑体_GBK"/>
                <w:sz w:val="24"/>
                <w:szCs w:val="24"/>
              </w:rPr>
            </w:pPr>
            <w:r>
              <w:rPr>
                <w:rFonts w:hint="eastAsia" w:eastAsia="方正黑体_GBK"/>
                <w:sz w:val="24"/>
                <w:szCs w:val="24"/>
              </w:rPr>
              <w:t>年均增速（%）</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425" w:hRule="atLeast"/>
          <w:jc w:val="center"/>
        </w:trPr>
        <w:tc>
          <w:tcPr>
            <w:tcW w:w="1135" w:type="dxa"/>
            <w:vMerge w:val="restart"/>
            <w:noWrap w:val="0"/>
            <w:tcMar>
              <w:left w:w="85" w:type="dxa"/>
              <w:right w:w="85" w:type="dxa"/>
            </w:tcMar>
            <w:vAlign w:val="center"/>
          </w:tcPr>
          <w:p>
            <w:pPr>
              <w:rPr>
                <w:rFonts w:hint="eastAsia" w:eastAsia="方正书宋_GBK"/>
                <w:sz w:val="24"/>
                <w:szCs w:val="24"/>
              </w:rPr>
            </w:pPr>
            <w:r>
              <w:rPr>
                <w:rFonts w:hint="eastAsia" w:eastAsia="方正书宋_GBK"/>
                <w:sz w:val="24"/>
                <w:szCs w:val="24"/>
              </w:rPr>
              <w:t>能源保障安全有力</w:t>
            </w:r>
          </w:p>
        </w:tc>
        <w:tc>
          <w:tcPr>
            <w:tcW w:w="2576" w:type="dxa"/>
            <w:noWrap w:val="0"/>
            <w:tcMar>
              <w:left w:w="85" w:type="dxa"/>
              <w:right w:w="85" w:type="dxa"/>
            </w:tcMar>
            <w:vAlign w:val="center"/>
          </w:tcPr>
          <w:p>
            <w:pPr>
              <w:rPr>
                <w:rFonts w:hint="eastAsia" w:eastAsia="方正书宋_GBK"/>
                <w:sz w:val="24"/>
                <w:szCs w:val="24"/>
              </w:rPr>
            </w:pPr>
            <w:r>
              <w:rPr>
                <w:rFonts w:hint="eastAsia" w:eastAsia="方正书宋_GBK"/>
                <w:sz w:val="24"/>
                <w:szCs w:val="24"/>
              </w:rPr>
              <w:t>电力装机总量</w:t>
            </w:r>
          </w:p>
        </w:tc>
        <w:tc>
          <w:tcPr>
            <w:tcW w:w="1148"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万千瓦</w:t>
            </w:r>
          </w:p>
        </w:tc>
        <w:tc>
          <w:tcPr>
            <w:tcW w:w="951"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预期性</w:t>
            </w:r>
          </w:p>
        </w:tc>
        <w:tc>
          <w:tcPr>
            <w:tcW w:w="952"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2607</w:t>
            </w:r>
          </w:p>
        </w:tc>
        <w:tc>
          <w:tcPr>
            <w:tcW w:w="1120"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3650</w:t>
            </w:r>
          </w:p>
        </w:tc>
        <w:tc>
          <w:tcPr>
            <w:tcW w:w="924"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7.0</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425" w:hRule="atLeast"/>
          <w:jc w:val="center"/>
        </w:trPr>
        <w:tc>
          <w:tcPr>
            <w:tcW w:w="1135" w:type="dxa"/>
            <w:vMerge w:val="continue"/>
            <w:noWrap w:val="0"/>
            <w:tcMar>
              <w:left w:w="85" w:type="dxa"/>
              <w:right w:w="85" w:type="dxa"/>
            </w:tcMar>
            <w:vAlign w:val="center"/>
          </w:tcPr>
          <w:p>
            <w:pPr>
              <w:rPr>
                <w:rFonts w:hint="eastAsia" w:eastAsia="方正书宋_GBK"/>
                <w:sz w:val="24"/>
                <w:szCs w:val="24"/>
              </w:rPr>
            </w:pPr>
          </w:p>
        </w:tc>
        <w:tc>
          <w:tcPr>
            <w:tcW w:w="2576" w:type="dxa"/>
            <w:noWrap w:val="0"/>
            <w:tcMar>
              <w:left w:w="85" w:type="dxa"/>
              <w:right w:w="85" w:type="dxa"/>
            </w:tcMar>
            <w:vAlign w:val="center"/>
          </w:tcPr>
          <w:p>
            <w:pPr>
              <w:rPr>
                <w:rFonts w:hint="eastAsia" w:eastAsia="方正书宋_GBK"/>
                <w:sz w:val="24"/>
                <w:szCs w:val="24"/>
              </w:rPr>
            </w:pPr>
            <w:r>
              <w:rPr>
                <w:rFonts w:hint="eastAsia" w:eastAsia="方正书宋_GBK"/>
                <w:sz w:val="24"/>
                <w:szCs w:val="24"/>
              </w:rPr>
              <w:t>全社会用电量</w:t>
            </w:r>
          </w:p>
        </w:tc>
        <w:tc>
          <w:tcPr>
            <w:tcW w:w="1148"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亿千瓦时</w:t>
            </w:r>
          </w:p>
        </w:tc>
        <w:tc>
          <w:tcPr>
            <w:tcW w:w="951"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预期性</w:t>
            </w:r>
          </w:p>
        </w:tc>
        <w:tc>
          <w:tcPr>
            <w:tcW w:w="952"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1187</w:t>
            </w:r>
          </w:p>
        </w:tc>
        <w:tc>
          <w:tcPr>
            <w:tcW w:w="1120"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1620</w:t>
            </w:r>
          </w:p>
        </w:tc>
        <w:tc>
          <w:tcPr>
            <w:tcW w:w="924"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6.4</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425" w:hRule="atLeast"/>
          <w:jc w:val="center"/>
        </w:trPr>
        <w:tc>
          <w:tcPr>
            <w:tcW w:w="1135" w:type="dxa"/>
            <w:vMerge w:val="continue"/>
            <w:noWrap w:val="0"/>
            <w:tcMar>
              <w:left w:w="85" w:type="dxa"/>
              <w:right w:w="85" w:type="dxa"/>
            </w:tcMar>
            <w:vAlign w:val="center"/>
          </w:tcPr>
          <w:p>
            <w:pPr>
              <w:rPr>
                <w:rFonts w:hint="eastAsia" w:eastAsia="方正书宋_GBK"/>
                <w:sz w:val="24"/>
                <w:szCs w:val="24"/>
              </w:rPr>
            </w:pPr>
          </w:p>
        </w:tc>
        <w:tc>
          <w:tcPr>
            <w:tcW w:w="2576" w:type="dxa"/>
            <w:noWrap w:val="0"/>
            <w:tcMar>
              <w:left w:w="85" w:type="dxa"/>
              <w:right w:w="85" w:type="dxa"/>
            </w:tcMar>
            <w:vAlign w:val="center"/>
          </w:tcPr>
          <w:p>
            <w:pPr>
              <w:rPr>
                <w:rFonts w:hint="eastAsia" w:eastAsia="方正书宋_GBK"/>
                <w:sz w:val="24"/>
                <w:szCs w:val="24"/>
              </w:rPr>
            </w:pPr>
            <w:r>
              <w:rPr>
                <w:rFonts w:hint="eastAsia" w:eastAsia="方正书宋_GBK"/>
                <w:sz w:val="24"/>
                <w:szCs w:val="24"/>
              </w:rPr>
              <w:t>常规天然气产量</w:t>
            </w:r>
          </w:p>
        </w:tc>
        <w:tc>
          <w:tcPr>
            <w:tcW w:w="1148"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亿立方米</w:t>
            </w:r>
          </w:p>
        </w:tc>
        <w:tc>
          <w:tcPr>
            <w:tcW w:w="951"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预期性</w:t>
            </w:r>
          </w:p>
        </w:tc>
        <w:tc>
          <w:tcPr>
            <w:tcW w:w="952"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50</w:t>
            </w:r>
          </w:p>
        </w:tc>
        <w:tc>
          <w:tcPr>
            <w:tcW w:w="1120"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50</w:t>
            </w:r>
          </w:p>
        </w:tc>
        <w:tc>
          <w:tcPr>
            <w:tcW w:w="924" w:type="dxa"/>
            <w:noWrap w:val="0"/>
            <w:tcMar>
              <w:left w:w="85" w:type="dxa"/>
              <w:right w:w="85" w:type="dxa"/>
            </w:tcMar>
            <w:vAlign w:val="center"/>
          </w:tcPr>
          <w:p>
            <w:pPr>
              <w:jc w:val="center"/>
              <w:rPr>
                <w:rFonts w:hint="eastAsia" w:eastAsia="方正书宋_GBK"/>
                <w:sz w:val="24"/>
                <w:szCs w:val="24"/>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425" w:hRule="atLeast"/>
          <w:jc w:val="center"/>
        </w:trPr>
        <w:tc>
          <w:tcPr>
            <w:tcW w:w="1135" w:type="dxa"/>
            <w:vMerge w:val="continue"/>
            <w:noWrap w:val="0"/>
            <w:tcMar>
              <w:left w:w="85" w:type="dxa"/>
              <w:right w:w="85" w:type="dxa"/>
            </w:tcMar>
            <w:vAlign w:val="center"/>
          </w:tcPr>
          <w:p>
            <w:pPr>
              <w:rPr>
                <w:rFonts w:hint="eastAsia" w:eastAsia="方正书宋_GBK"/>
                <w:sz w:val="24"/>
                <w:szCs w:val="24"/>
              </w:rPr>
            </w:pPr>
          </w:p>
        </w:tc>
        <w:tc>
          <w:tcPr>
            <w:tcW w:w="2576" w:type="dxa"/>
            <w:noWrap w:val="0"/>
            <w:tcMar>
              <w:left w:w="85" w:type="dxa"/>
              <w:right w:w="85" w:type="dxa"/>
            </w:tcMar>
            <w:vAlign w:val="center"/>
          </w:tcPr>
          <w:p>
            <w:pPr>
              <w:rPr>
                <w:rFonts w:hint="eastAsia" w:eastAsia="方正书宋_GBK"/>
                <w:sz w:val="24"/>
                <w:szCs w:val="24"/>
              </w:rPr>
            </w:pPr>
            <w:r>
              <w:rPr>
                <w:rFonts w:hint="eastAsia" w:eastAsia="方正书宋_GBK"/>
                <w:sz w:val="24"/>
                <w:szCs w:val="24"/>
              </w:rPr>
              <w:t>页岩气产量</w:t>
            </w:r>
          </w:p>
        </w:tc>
        <w:tc>
          <w:tcPr>
            <w:tcW w:w="1148"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亿立方米</w:t>
            </w:r>
          </w:p>
        </w:tc>
        <w:tc>
          <w:tcPr>
            <w:tcW w:w="951"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预期性</w:t>
            </w:r>
          </w:p>
        </w:tc>
        <w:tc>
          <w:tcPr>
            <w:tcW w:w="952"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80</w:t>
            </w:r>
          </w:p>
        </w:tc>
        <w:tc>
          <w:tcPr>
            <w:tcW w:w="1120"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135</w:t>
            </w:r>
          </w:p>
        </w:tc>
        <w:tc>
          <w:tcPr>
            <w:tcW w:w="924"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11.0</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425" w:hRule="atLeast"/>
          <w:jc w:val="center"/>
        </w:trPr>
        <w:tc>
          <w:tcPr>
            <w:tcW w:w="1135" w:type="dxa"/>
            <w:vMerge w:val="continue"/>
            <w:noWrap w:val="0"/>
            <w:tcMar>
              <w:left w:w="85" w:type="dxa"/>
              <w:right w:w="85" w:type="dxa"/>
            </w:tcMar>
            <w:vAlign w:val="center"/>
          </w:tcPr>
          <w:p>
            <w:pPr>
              <w:rPr>
                <w:rFonts w:hint="eastAsia" w:eastAsia="方正书宋_GBK"/>
                <w:sz w:val="24"/>
                <w:szCs w:val="24"/>
              </w:rPr>
            </w:pPr>
          </w:p>
        </w:tc>
        <w:tc>
          <w:tcPr>
            <w:tcW w:w="2576" w:type="dxa"/>
            <w:noWrap w:val="0"/>
            <w:tcMar>
              <w:left w:w="85" w:type="dxa"/>
              <w:right w:w="85" w:type="dxa"/>
            </w:tcMar>
            <w:vAlign w:val="center"/>
          </w:tcPr>
          <w:p>
            <w:pPr>
              <w:rPr>
                <w:rFonts w:hint="eastAsia" w:eastAsia="方正书宋_GBK"/>
                <w:sz w:val="24"/>
                <w:szCs w:val="24"/>
              </w:rPr>
            </w:pPr>
            <w:r>
              <w:rPr>
                <w:rFonts w:hint="eastAsia" w:eastAsia="方正书宋_GBK"/>
                <w:sz w:val="24"/>
                <w:szCs w:val="24"/>
              </w:rPr>
              <w:t>储气能力占天然气消费比重</w:t>
            </w:r>
          </w:p>
        </w:tc>
        <w:tc>
          <w:tcPr>
            <w:tcW w:w="1148"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951"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预期性</w:t>
            </w:r>
          </w:p>
        </w:tc>
        <w:tc>
          <w:tcPr>
            <w:tcW w:w="952"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3.3</w:t>
            </w:r>
          </w:p>
        </w:tc>
        <w:tc>
          <w:tcPr>
            <w:tcW w:w="1120"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4</w:t>
            </w:r>
          </w:p>
        </w:tc>
        <w:tc>
          <w:tcPr>
            <w:tcW w:w="924"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[0.7]</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425" w:hRule="atLeast"/>
          <w:jc w:val="center"/>
        </w:trPr>
        <w:tc>
          <w:tcPr>
            <w:tcW w:w="1135" w:type="dxa"/>
            <w:vMerge w:val="continue"/>
            <w:noWrap w:val="0"/>
            <w:tcMar>
              <w:left w:w="85" w:type="dxa"/>
              <w:right w:w="85" w:type="dxa"/>
            </w:tcMar>
            <w:vAlign w:val="center"/>
          </w:tcPr>
          <w:p>
            <w:pPr>
              <w:rPr>
                <w:rFonts w:hint="eastAsia" w:eastAsia="方正书宋_GBK"/>
                <w:sz w:val="24"/>
                <w:szCs w:val="24"/>
              </w:rPr>
            </w:pPr>
          </w:p>
        </w:tc>
        <w:tc>
          <w:tcPr>
            <w:tcW w:w="2576" w:type="dxa"/>
            <w:noWrap w:val="0"/>
            <w:tcMar>
              <w:left w:w="85" w:type="dxa"/>
              <w:right w:w="85" w:type="dxa"/>
            </w:tcMar>
            <w:vAlign w:val="center"/>
          </w:tcPr>
          <w:p>
            <w:pPr>
              <w:rPr>
                <w:rFonts w:hint="eastAsia" w:eastAsia="方正书宋_GBK"/>
                <w:sz w:val="24"/>
                <w:szCs w:val="24"/>
              </w:rPr>
            </w:pPr>
            <w:r>
              <w:rPr>
                <w:rFonts w:hint="eastAsia" w:eastAsia="方正书宋_GBK"/>
                <w:sz w:val="24"/>
                <w:szCs w:val="24"/>
              </w:rPr>
              <w:t>煤炭储备能力占年消费量比重</w:t>
            </w:r>
          </w:p>
        </w:tc>
        <w:tc>
          <w:tcPr>
            <w:tcW w:w="1148"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951"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预期性</w:t>
            </w:r>
          </w:p>
        </w:tc>
        <w:tc>
          <w:tcPr>
            <w:tcW w:w="952"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10</w:t>
            </w:r>
          </w:p>
        </w:tc>
        <w:tc>
          <w:tcPr>
            <w:tcW w:w="1120"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15</w:t>
            </w:r>
          </w:p>
        </w:tc>
        <w:tc>
          <w:tcPr>
            <w:tcW w:w="924"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[5]</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1135" w:type="dxa"/>
            <w:vMerge w:val="restart"/>
            <w:noWrap w:val="0"/>
            <w:tcMar>
              <w:left w:w="85" w:type="dxa"/>
              <w:right w:w="85" w:type="dxa"/>
            </w:tcMar>
            <w:vAlign w:val="center"/>
          </w:tcPr>
          <w:p>
            <w:pPr>
              <w:rPr>
                <w:rFonts w:hint="eastAsia" w:eastAsia="方正书宋_GBK"/>
                <w:sz w:val="24"/>
                <w:szCs w:val="24"/>
              </w:rPr>
            </w:pPr>
            <w:r>
              <w:rPr>
                <w:rFonts w:hint="eastAsia" w:eastAsia="方正书宋_GBK"/>
                <w:sz w:val="24"/>
                <w:szCs w:val="24"/>
              </w:rPr>
              <w:t>能源绿色转型成效显著</w:t>
            </w:r>
          </w:p>
        </w:tc>
        <w:tc>
          <w:tcPr>
            <w:tcW w:w="2576" w:type="dxa"/>
            <w:noWrap w:val="0"/>
            <w:tcMar>
              <w:left w:w="85" w:type="dxa"/>
              <w:right w:w="85" w:type="dxa"/>
            </w:tcMar>
            <w:vAlign w:val="center"/>
          </w:tcPr>
          <w:p>
            <w:pPr>
              <w:rPr>
                <w:rFonts w:hint="eastAsia" w:eastAsia="方正书宋_GBK"/>
                <w:sz w:val="24"/>
                <w:szCs w:val="24"/>
              </w:rPr>
            </w:pPr>
            <w:r>
              <w:rPr>
                <w:rFonts w:hint="eastAsia" w:eastAsia="方正书宋_GBK"/>
                <w:sz w:val="24"/>
                <w:szCs w:val="24"/>
              </w:rPr>
              <w:t>非化石能源消费比重</w:t>
            </w:r>
          </w:p>
        </w:tc>
        <w:tc>
          <w:tcPr>
            <w:tcW w:w="1148"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951"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预期性</w:t>
            </w:r>
          </w:p>
        </w:tc>
        <w:tc>
          <w:tcPr>
            <w:tcW w:w="952"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20.9</w:t>
            </w:r>
          </w:p>
        </w:tc>
        <w:tc>
          <w:tcPr>
            <w:tcW w:w="1120"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25</w:t>
            </w:r>
          </w:p>
        </w:tc>
        <w:tc>
          <w:tcPr>
            <w:tcW w:w="924"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[4.1]</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1135" w:type="dxa"/>
            <w:vMerge w:val="continue"/>
            <w:noWrap w:val="0"/>
            <w:tcMar>
              <w:left w:w="85" w:type="dxa"/>
              <w:right w:w="85" w:type="dxa"/>
            </w:tcMar>
            <w:vAlign w:val="center"/>
          </w:tcPr>
          <w:p>
            <w:pPr>
              <w:rPr>
                <w:rFonts w:hint="eastAsia" w:eastAsia="方正书宋_GBK"/>
                <w:sz w:val="24"/>
                <w:szCs w:val="24"/>
              </w:rPr>
            </w:pPr>
          </w:p>
        </w:tc>
        <w:tc>
          <w:tcPr>
            <w:tcW w:w="2576" w:type="dxa"/>
            <w:noWrap w:val="0"/>
            <w:tcMar>
              <w:left w:w="85" w:type="dxa"/>
              <w:right w:w="85" w:type="dxa"/>
            </w:tcMar>
            <w:vAlign w:val="center"/>
          </w:tcPr>
          <w:p>
            <w:pPr>
              <w:rPr>
                <w:rFonts w:hint="eastAsia" w:eastAsia="方正书宋_GBK"/>
                <w:sz w:val="24"/>
                <w:szCs w:val="24"/>
              </w:rPr>
            </w:pPr>
            <w:r>
              <w:rPr>
                <w:rFonts w:hint="eastAsia" w:eastAsia="方正书宋_GBK"/>
                <w:sz w:val="24"/>
                <w:szCs w:val="24"/>
              </w:rPr>
              <w:t>煤炭消费比重</w:t>
            </w:r>
          </w:p>
        </w:tc>
        <w:tc>
          <w:tcPr>
            <w:tcW w:w="1148"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951"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预期性</w:t>
            </w:r>
          </w:p>
        </w:tc>
        <w:tc>
          <w:tcPr>
            <w:tcW w:w="952"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44.3</w:t>
            </w:r>
          </w:p>
        </w:tc>
        <w:tc>
          <w:tcPr>
            <w:tcW w:w="1120"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40</w:t>
            </w:r>
          </w:p>
        </w:tc>
        <w:tc>
          <w:tcPr>
            <w:tcW w:w="924"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[-4.3]</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1135" w:type="dxa"/>
            <w:vMerge w:val="continue"/>
            <w:noWrap w:val="0"/>
            <w:tcMar>
              <w:left w:w="85" w:type="dxa"/>
              <w:right w:w="85" w:type="dxa"/>
            </w:tcMar>
            <w:vAlign w:val="center"/>
          </w:tcPr>
          <w:p>
            <w:pPr>
              <w:rPr>
                <w:rFonts w:hint="eastAsia" w:eastAsia="方正书宋_GBK"/>
                <w:sz w:val="24"/>
                <w:szCs w:val="24"/>
              </w:rPr>
            </w:pPr>
          </w:p>
        </w:tc>
        <w:tc>
          <w:tcPr>
            <w:tcW w:w="2576" w:type="dxa"/>
            <w:noWrap w:val="0"/>
            <w:tcMar>
              <w:left w:w="85" w:type="dxa"/>
              <w:right w:w="85" w:type="dxa"/>
            </w:tcMar>
            <w:vAlign w:val="center"/>
          </w:tcPr>
          <w:p>
            <w:pPr>
              <w:rPr>
                <w:rFonts w:hint="eastAsia" w:eastAsia="方正书宋_GBK"/>
                <w:sz w:val="24"/>
                <w:szCs w:val="24"/>
                <w:highlight w:val="yellow"/>
              </w:rPr>
            </w:pPr>
            <w:r>
              <w:rPr>
                <w:rFonts w:hint="eastAsia" w:eastAsia="方正书宋_GBK"/>
                <w:sz w:val="24"/>
                <w:szCs w:val="24"/>
              </w:rPr>
              <w:t>天然气消费比重</w:t>
            </w:r>
          </w:p>
        </w:tc>
        <w:tc>
          <w:tcPr>
            <w:tcW w:w="1148"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951"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预期性</w:t>
            </w:r>
          </w:p>
        </w:tc>
        <w:tc>
          <w:tcPr>
            <w:tcW w:w="952"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15.7</w:t>
            </w:r>
          </w:p>
        </w:tc>
        <w:tc>
          <w:tcPr>
            <w:tcW w:w="1120"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20</w:t>
            </w:r>
          </w:p>
        </w:tc>
        <w:tc>
          <w:tcPr>
            <w:tcW w:w="924"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[4.3]</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1135" w:type="dxa"/>
            <w:vMerge w:val="continue"/>
            <w:noWrap w:val="0"/>
            <w:tcMar>
              <w:left w:w="85" w:type="dxa"/>
              <w:right w:w="85" w:type="dxa"/>
            </w:tcMar>
            <w:vAlign w:val="center"/>
          </w:tcPr>
          <w:p>
            <w:pPr>
              <w:rPr>
                <w:rFonts w:hint="eastAsia" w:eastAsia="方正书宋_GBK"/>
                <w:sz w:val="24"/>
                <w:szCs w:val="24"/>
              </w:rPr>
            </w:pPr>
          </w:p>
        </w:tc>
        <w:tc>
          <w:tcPr>
            <w:tcW w:w="2576" w:type="dxa"/>
            <w:noWrap w:val="0"/>
            <w:tcMar>
              <w:left w:w="85" w:type="dxa"/>
              <w:right w:w="85" w:type="dxa"/>
            </w:tcMar>
            <w:vAlign w:val="center"/>
          </w:tcPr>
          <w:p>
            <w:pPr>
              <w:rPr>
                <w:rFonts w:hint="eastAsia" w:eastAsia="方正书宋_GBK"/>
                <w:sz w:val="24"/>
                <w:szCs w:val="24"/>
              </w:rPr>
            </w:pPr>
            <w:r>
              <w:rPr>
                <w:rFonts w:hint="eastAsia" w:eastAsia="方正书宋_GBK"/>
                <w:sz w:val="24"/>
                <w:szCs w:val="24"/>
              </w:rPr>
              <w:t>可再生能源发电装机比重</w:t>
            </w:r>
          </w:p>
        </w:tc>
        <w:tc>
          <w:tcPr>
            <w:tcW w:w="1148"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951"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预期性</w:t>
            </w:r>
          </w:p>
        </w:tc>
        <w:tc>
          <w:tcPr>
            <w:tcW w:w="952"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37.5</w:t>
            </w:r>
          </w:p>
        </w:tc>
        <w:tc>
          <w:tcPr>
            <w:tcW w:w="1120"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37.5</w:t>
            </w:r>
          </w:p>
        </w:tc>
        <w:tc>
          <w:tcPr>
            <w:tcW w:w="924" w:type="dxa"/>
            <w:noWrap w:val="0"/>
            <w:tcMar>
              <w:left w:w="85" w:type="dxa"/>
              <w:right w:w="85" w:type="dxa"/>
            </w:tcMar>
            <w:vAlign w:val="center"/>
          </w:tcPr>
          <w:p>
            <w:pPr>
              <w:jc w:val="center"/>
              <w:rPr>
                <w:rFonts w:hint="eastAsia" w:eastAsia="方正书宋_GBK"/>
                <w:sz w:val="24"/>
                <w:szCs w:val="24"/>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1135" w:type="dxa"/>
            <w:vMerge w:val="continue"/>
            <w:noWrap w:val="0"/>
            <w:tcMar>
              <w:left w:w="85" w:type="dxa"/>
              <w:right w:w="85" w:type="dxa"/>
            </w:tcMar>
            <w:vAlign w:val="center"/>
          </w:tcPr>
          <w:p>
            <w:pPr>
              <w:rPr>
                <w:rFonts w:hint="eastAsia" w:eastAsia="方正书宋_GBK"/>
                <w:sz w:val="24"/>
                <w:szCs w:val="24"/>
              </w:rPr>
            </w:pPr>
          </w:p>
        </w:tc>
        <w:tc>
          <w:tcPr>
            <w:tcW w:w="2576" w:type="dxa"/>
            <w:noWrap w:val="0"/>
            <w:tcMar>
              <w:left w:w="85" w:type="dxa"/>
              <w:right w:w="85" w:type="dxa"/>
            </w:tcMar>
            <w:vAlign w:val="center"/>
          </w:tcPr>
          <w:p>
            <w:pPr>
              <w:rPr>
                <w:rFonts w:hint="eastAsia" w:eastAsia="方正书宋_GBK"/>
                <w:sz w:val="24"/>
                <w:szCs w:val="24"/>
              </w:rPr>
            </w:pPr>
            <w:r>
              <w:rPr>
                <w:rFonts w:hint="eastAsia" w:eastAsia="方正书宋_GBK"/>
                <w:sz w:val="24"/>
                <w:szCs w:val="24"/>
              </w:rPr>
              <w:t>可再生能源电力消纳总量责任权重</w:t>
            </w:r>
          </w:p>
        </w:tc>
        <w:tc>
          <w:tcPr>
            <w:tcW w:w="1148"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951"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约束性</w:t>
            </w:r>
          </w:p>
        </w:tc>
        <w:tc>
          <w:tcPr>
            <w:tcW w:w="952"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40.0</w:t>
            </w:r>
          </w:p>
        </w:tc>
        <w:tc>
          <w:tcPr>
            <w:tcW w:w="1120" w:type="dxa"/>
            <w:noWrap w:val="0"/>
            <w:tcMar>
              <w:left w:w="85" w:type="dxa"/>
              <w:right w:w="85" w:type="dxa"/>
            </w:tcMar>
            <w:vAlign w:val="center"/>
          </w:tcPr>
          <w:p>
            <w:pPr>
              <w:rPr>
                <w:rFonts w:hint="eastAsia" w:eastAsia="方正书宋_GBK"/>
                <w:sz w:val="24"/>
                <w:szCs w:val="24"/>
              </w:rPr>
            </w:pPr>
            <w:r>
              <w:rPr>
                <w:rFonts w:hint="eastAsia" w:eastAsia="方正书宋_GBK"/>
                <w:sz w:val="24"/>
                <w:szCs w:val="24"/>
              </w:rPr>
              <w:t>以国家下达为准</w:t>
            </w:r>
          </w:p>
        </w:tc>
        <w:tc>
          <w:tcPr>
            <w:tcW w:w="924" w:type="dxa"/>
            <w:noWrap w:val="0"/>
            <w:tcMar>
              <w:left w:w="85" w:type="dxa"/>
              <w:right w:w="85" w:type="dxa"/>
            </w:tcMar>
            <w:vAlign w:val="center"/>
          </w:tcPr>
          <w:p>
            <w:pPr>
              <w:jc w:val="center"/>
              <w:rPr>
                <w:rFonts w:hint="eastAsia" w:eastAsia="方正书宋_GBK"/>
                <w:sz w:val="24"/>
                <w:szCs w:val="24"/>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1135" w:type="dxa"/>
            <w:vMerge w:val="continue"/>
            <w:noWrap w:val="0"/>
            <w:tcMar>
              <w:left w:w="85" w:type="dxa"/>
              <w:right w:w="85" w:type="dxa"/>
            </w:tcMar>
            <w:vAlign w:val="center"/>
          </w:tcPr>
          <w:p>
            <w:pPr>
              <w:rPr>
                <w:rFonts w:hint="eastAsia" w:eastAsia="方正书宋_GBK"/>
                <w:sz w:val="24"/>
                <w:szCs w:val="24"/>
              </w:rPr>
            </w:pPr>
          </w:p>
        </w:tc>
        <w:tc>
          <w:tcPr>
            <w:tcW w:w="2576" w:type="dxa"/>
            <w:noWrap w:val="0"/>
            <w:tcMar>
              <w:left w:w="85" w:type="dxa"/>
              <w:right w:w="85" w:type="dxa"/>
            </w:tcMar>
            <w:vAlign w:val="center"/>
          </w:tcPr>
          <w:p>
            <w:pPr>
              <w:rPr>
                <w:rFonts w:hint="eastAsia" w:eastAsia="方正书宋_GBK"/>
                <w:sz w:val="24"/>
                <w:szCs w:val="24"/>
              </w:rPr>
            </w:pPr>
            <w:r>
              <w:rPr>
                <w:rFonts w:hint="eastAsia" w:eastAsia="方正书宋_GBK"/>
                <w:sz w:val="24"/>
                <w:szCs w:val="24"/>
              </w:rPr>
              <w:t>可再生能源电力消纳非水电责任权重</w:t>
            </w:r>
          </w:p>
        </w:tc>
        <w:tc>
          <w:tcPr>
            <w:tcW w:w="1148"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951"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约束性</w:t>
            </w:r>
          </w:p>
        </w:tc>
        <w:tc>
          <w:tcPr>
            <w:tcW w:w="952"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3.5</w:t>
            </w:r>
          </w:p>
        </w:tc>
        <w:tc>
          <w:tcPr>
            <w:tcW w:w="1120" w:type="dxa"/>
            <w:noWrap w:val="0"/>
            <w:tcMar>
              <w:left w:w="85" w:type="dxa"/>
              <w:right w:w="85" w:type="dxa"/>
            </w:tcMar>
            <w:vAlign w:val="center"/>
          </w:tcPr>
          <w:p>
            <w:pPr>
              <w:rPr>
                <w:rFonts w:hint="eastAsia" w:eastAsia="方正书宋_GBK"/>
                <w:sz w:val="24"/>
                <w:szCs w:val="24"/>
              </w:rPr>
            </w:pPr>
            <w:r>
              <w:rPr>
                <w:rFonts w:hint="eastAsia" w:eastAsia="方正书宋_GBK"/>
                <w:sz w:val="24"/>
                <w:szCs w:val="24"/>
              </w:rPr>
              <w:t>以国家下达为准</w:t>
            </w:r>
          </w:p>
        </w:tc>
        <w:tc>
          <w:tcPr>
            <w:tcW w:w="924" w:type="dxa"/>
            <w:noWrap w:val="0"/>
            <w:tcMar>
              <w:left w:w="85" w:type="dxa"/>
              <w:right w:w="85" w:type="dxa"/>
            </w:tcMar>
            <w:vAlign w:val="center"/>
          </w:tcPr>
          <w:p>
            <w:pPr>
              <w:jc w:val="center"/>
              <w:rPr>
                <w:rFonts w:hint="eastAsia" w:eastAsia="方正书宋_GBK"/>
                <w:sz w:val="24"/>
                <w:szCs w:val="24"/>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1135" w:type="dxa"/>
            <w:vMerge w:val="continue"/>
            <w:noWrap w:val="0"/>
            <w:tcMar>
              <w:left w:w="85" w:type="dxa"/>
              <w:right w:w="85" w:type="dxa"/>
            </w:tcMar>
            <w:vAlign w:val="center"/>
          </w:tcPr>
          <w:p>
            <w:pPr>
              <w:rPr>
                <w:rFonts w:hint="eastAsia" w:eastAsia="方正书宋_GBK"/>
                <w:sz w:val="24"/>
                <w:szCs w:val="24"/>
              </w:rPr>
            </w:pPr>
          </w:p>
        </w:tc>
        <w:tc>
          <w:tcPr>
            <w:tcW w:w="2576" w:type="dxa"/>
            <w:noWrap w:val="0"/>
            <w:tcMar>
              <w:left w:w="85" w:type="dxa"/>
              <w:right w:w="85" w:type="dxa"/>
            </w:tcMar>
            <w:vAlign w:val="center"/>
          </w:tcPr>
          <w:p>
            <w:pPr>
              <w:rPr>
                <w:rFonts w:hint="eastAsia" w:eastAsia="方正书宋_GBK"/>
                <w:sz w:val="24"/>
                <w:szCs w:val="24"/>
              </w:rPr>
            </w:pPr>
            <w:r>
              <w:rPr>
                <w:rFonts w:hint="eastAsia" w:eastAsia="方正书宋_GBK"/>
                <w:sz w:val="24"/>
                <w:szCs w:val="24"/>
              </w:rPr>
              <w:t>单位GDP二氧化碳排放下降率</w:t>
            </w:r>
          </w:p>
        </w:tc>
        <w:tc>
          <w:tcPr>
            <w:tcW w:w="1148"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951"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约束性</w:t>
            </w:r>
          </w:p>
        </w:tc>
        <w:tc>
          <w:tcPr>
            <w:tcW w:w="952"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1120" w:type="dxa"/>
            <w:noWrap w:val="0"/>
            <w:tcMar>
              <w:left w:w="85" w:type="dxa"/>
              <w:right w:w="85" w:type="dxa"/>
            </w:tcMar>
            <w:vAlign w:val="center"/>
          </w:tcPr>
          <w:p>
            <w:pPr>
              <w:rPr>
                <w:rFonts w:hint="eastAsia" w:eastAsia="方正书宋_GBK"/>
                <w:sz w:val="24"/>
                <w:szCs w:val="24"/>
              </w:rPr>
            </w:pPr>
            <w:r>
              <w:rPr>
                <w:rFonts w:hint="eastAsia" w:eastAsia="方正书宋_GBK"/>
                <w:sz w:val="24"/>
                <w:szCs w:val="24"/>
              </w:rPr>
              <w:t>以国家下达为准</w:t>
            </w:r>
          </w:p>
        </w:tc>
        <w:tc>
          <w:tcPr>
            <w:tcW w:w="924" w:type="dxa"/>
            <w:noWrap w:val="0"/>
            <w:tcMar>
              <w:left w:w="85" w:type="dxa"/>
              <w:right w:w="85" w:type="dxa"/>
            </w:tcMar>
            <w:vAlign w:val="center"/>
          </w:tcPr>
          <w:p>
            <w:pPr>
              <w:jc w:val="center"/>
              <w:rPr>
                <w:rFonts w:hint="eastAsia" w:eastAsia="方正书宋_GBK"/>
                <w:sz w:val="24"/>
                <w:szCs w:val="24"/>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1135" w:type="dxa"/>
            <w:vMerge w:val="restart"/>
            <w:noWrap w:val="0"/>
            <w:tcMar>
              <w:left w:w="85" w:type="dxa"/>
              <w:right w:w="85" w:type="dxa"/>
            </w:tcMar>
            <w:vAlign w:val="center"/>
          </w:tcPr>
          <w:p>
            <w:pPr>
              <w:rPr>
                <w:rFonts w:hint="eastAsia" w:eastAsia="方正书宋_GBK"/>
                <w:sz w:val="24"/>
                <w:szCs w:val="24"/>
              </w:rPr>
            </w:pPr>
            <w:r>
              <w:rPr>
                <w:rFonts w:hint="eastAsia" w:eastAsia="方正书宋_GBK"/>
                <w:sz w:val="24"/>
                <w:szCs w:val="24"/>
              </w:rPr>
              <w:t>能源利用效率大幅提高</w:t>
            </w:r>
          </w:p>
        </w:tc>
        <w:tc>
          <w:tcPr>
            <w:tcW w:w="2576" w:type="dxa"/>
            <w:noWrap w:val="0"/>
            <w:tcMar>
              <w:left w:w="85" w:type="dxa"/>
              <w:right w:w="85" w:type="dxa"/>
            </w:tcMar>
            <w:vAlign w:val="center"/>
          </w:tcPr>
          <w:p>
            <w:pPr>
              <w:rPr>
                <w:rFonts w:hint="eastAsia" w:eastAsia="方正书宋_GBK"/>
                <w:sz w:val="24"/>
                <w:szCs w:val="24"/>
              </w:rPr>
            </w:pPr>
            <w:r>
              <w:rPr>
                <w:rFonts w:hint="eastAsia" w:eastAsia="方正书宋_GBK"/>
                <w:sz w:val="24"/>
                <w:szCs w:val="24"/>
              </w:rPr>
              <w:t>单位GDP能耗下降率</w:t>
            </w:r>
          </w:p>
        </w:tc>
        <w:tc>
          <w:tcPr>
            <w:tcW w:w="1148"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951"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约束性</w:t>
            </w:r>
          </w:p>
        </w:tc>
        <w:tc>
          <w:tcPr>
            <w:tcW w:w="952"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1120" w:type="dxa"/>
            <w:noWrap w:val="0"/>
            <w:tcMar>
              <w:left w:w="85" w:type="dxa"/>
              <w:right w:w="85" w:type="dxa"/>
            </w:tcMar>
            <w:vAlign w:val="center"/>
          </w:tcPr>
          <w:p>
            <w:pPr>
              <w:rPr>
                <w:rFonts w:hint="eastAsia" w:eastAsia="方正书宋_GBK"/>
                <w:sz w:val="24"/>
                <w:szCs w:val="24"/>
              </w:rPr>
            </w:pPr>
            <w:r>
              <w:rPr>
                <w:rFonts w:hint="eastAsia" w:eastAsia="方正书宋_GBK"/>
                <w:sz w:val="24"/>
                <w:szCs w:val="24"/>
              </w:rPr>
              <w:t>以国家下达为准</w:t>
            </w:r>
          </w:p>
        </w:tc>
        <w:tc>
          <w:tcPr>
            <w:tcW w:w="924" w:type="dxa"/>
            <w:noWrap w:val="0"/>
            <w:tcMar>
              <w:left w:w="85" w:type="dxa"/>
              <w:right w:w="85" w:type="dxa"/>
            </w:tcMar>
            <w:vAlign w:val="center"/>
          </w:tcPr>
          <w:p>
            <w:pPr>
              <w:jc w:val="center"/>
              <w:rPr>
                <w:rFonts w:hint="eastAsia" w:eastAsia="方正书宋_GBK"/>
                <w:sz w:val="24"/>
                <w:szCs w:val="24"/>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1135" w:type="dxa"/>
            <w:vMerge w:val="continue"/>
            <w:noWrap w:val="0"/>
            <w:tcMar>
              <w:left w:w="85" w:type="dxa"/>
              <w:right w:w="85" w:type="dxa"/>
            </w:tcMar>
            <w:vAlign w:val="center"/>
          </w:tcPr>
          <w:p>
            <w:pPr>
              <w:rPr>
                <w:rFonts w:hint="eastAsia" w:eastAsia="方正书宋_GBK"/>
                <w:sz w:val="24"/>
                <w:szCs w:val="24"/>
              </w:rPr>
            </w:pPr>
          </w:p>
        </w:tc>
        <w:tc>
          <w:tcPr>
            <w:tcW w:w="2576" w:type="dxa"/>
            <w:noWrap w:val="0"/>
            <w:tcMar>
              <w:left w:w="85" w:type="dxa"/>
              <w:right w:w="85" w:type="dxa"/>
            </w:tcMar>
            <w:vAlign w:val="center"/>
          </w:tcPr>
          <w:p>
            <w:pPr>
              <w:rPr>
                <w:rFonts w:hint="eastAsia" w:eastAsia="方正书宋_GBK"/>
                <w:sz w:val="24"/>
                <w:szCs w:val="24"/>
              </w:rPr>
            </w:pPr>
            <w:r>
              <w:rPr>
                <w:rFonts w:hint="eastAsia" w:eastAsia="方正书宋_GBK"/>
                <w:sz w:val="24"/>
                <w:szCs w:val="24"/>
              </w:rPr>
              <w:t>煤电供电煤耗</w:t>
            </w:r>
          </w:p>
        </w:tc>
        <w:tc>
          <w:tcPr>
            <w:tcW w:w="1148" w:type="dxa"/>
            <w:noWrap w:val="0"/>
            <w:tcMar>
              <w:left w:w="85" w:type="dxa"/>
              <w:right w:w="85" w:type="dxa"/>
            </w:tcMar>
            <w:vAlign w:val="center"/>
          </w:tcPr>
          <w:p>
            <w:pPr>
              <w:jc w:val="center"/>
              <w:rPr>
                <w:rFonts w:hint="eastAsia" w:eastAsia="方正书宋_GBK"/>
                <w:spacing w:val="-4"/>
                <w:sz w:val="24"/>
                <w:szCs w:val="24"/>
              </w:rPr>
            </w:pPr>
            <w:r>
              <w:rPr>
                <w:rFonts w:hint="eastAsia" w:eastAsia="方正书宋_GBK"/>
                <w:spacing w:val="-4"/>
                <w:sz w:val="24"/>
                <w:szCs w:val="24"/>
              </w:rPr>
              <w:t>克/千瓦时</w:t>
            </w:r>
          </w:p>
        </w:tc>
        <w:tc>
          <w:tcPr>
            <w:tcW w:w="951"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预期性</w:t>
            </w:r>
          </w:p>
        </w:tc>
        <w:tc>
          <w:tcPr>
            <w:tcW w:w="952"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311</w:t>
            </w:r>
          </w:p>
        </w:tc>
        <w:tc>
          <w:tcPr>
            <w:tcW w:w="1120"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＜300</w:t>
            </w:r>
          </w:p>
        </w:tc>
        <w:tc>
          <w:tcPr>
            <w:tcW w:w="924" w:type="dxa"/>
            <w:noWrap w:val="0"/>
            <w:tcMar>
              <w:left w:w="85" w:type="dxa"/>
              <w:right w:w="85" w:type="dxa"/>
            </w:tcMar>
            <w:vAlign w:val="center"/>
          </w:tcPr>
          <w:p>
            <w:pPr>
              <w:jc w:val="center"/>
              <w:rPr>
                <w:rFonts w:hint="eastAsia" w:eastAsia="方正书宋_GBK"/>
                <w:sz w:val="24"/>
                <w:szCs w:val="24"/>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1135" w:type="dxa"/>
            <w:vMerge w:val="continue"/>
            <w:noWrap w:val="0"/>
            <w:tcMar>
              <w:left w:w="85" w:type="dxa"/>
              <w:right w:w="85" w:type="dxa"/>
            </w:tcMar>
            <w:vAlign w:val="center"/>
          </w:tcPr>
          <w:p>
            <w:pPr>
              <w:rPr>
                <w:rFonts w:hint="eastAsia" w:eastAsia="方正书宋_GBK"/>
                <w:sz w:val="24"/>
                <w:szCs w:val="24"/>
              </w:rPr>
            </w:pPr>
          </w:p>
        </w:tc>
        <w:tc>
          <w:tcPr>
            <w:tcW w:w="2576" w:type="dxa"/>
            <w:noWrap w:val="0"/>
            <w:tcMar>
              <w:left w:w="85" w:type="dxa"/>
              <w:right w:w="85" w:type="dxa"/>
            </w:tcMar>
            <w:vAlign w:val="center"/>
          </w:tcPr>
          <w:p>
            <w:pPr>
              <w:rPr>
                <w:rFonts w:hint="eastAsia" w:eastAsia="方正书宋_GBK"/>
                <w:sz w:val="24"/>
                <w:szCs w:val="24"/>
              </w:rPr>
            </w:pPr>
            <w:r>
              <w:rPr>
                <w:rFonts w:hint="eastAsia" w:eastAsia="方正书宋_GBK"/>
                <w:sz w:val="24"/>
                <w:szCs w:val="24"/>
              </w:rPr>
              <w:t>电网综合线损率</w:t>
            </w:r>
          </w:p>
        </w:tc>
        <w:tc>
          <w:tcPr>
            <w:tcW w:w="1148"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951"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预期性</w:t>
            </w:r>
          </w:p>
        </w:tc>
        <w:tc>
          <w:tcPr>
            <w:tcW w:w="952"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5.2</w:t>
            </w:r>
          </w:p>
        </w:tc>
        <w:tc>
          <w:tcPr>
            <w:tcW w:w="1120"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4.8</w:t>
            </w:r>
          </w:p>
        </w:tc>
        <w:tc>
          <w:tcPr>
            <w:tcW w:w="924"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[-0.4]</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1135" w:type="dxa"/>
            <w:vMerge w:val="continue"/>
            <w:noWrap w:val="0"/>
            <w:tcMar>
              <w:left w:w="85" w:type="dxa"/>
              <w:right w:w="85" w:type="dxa"/>
            </w:tcMar>
            <w:vAlign w:val="center"/>
          </w:tcPr>
          <w:p>
            <w:pPr>
              <w:rPr>
                <w:rFonts w:hint="eastAsia" w:eastAsia="方正书宋_GBK"/>
                <w:sz w:val="24"/>
                <w:szCs w:val="24"/>
              </w:rPr>
            </w:pPr>
          </w:p>
        </w:tc>
        <w:tc>
          <w:tcPr>
            <w:tcW w:w="2576" w:type="dxa"/>
            <w:noWrap w:val="0"/>
            <w:tcMar>
              <w:left w:w="85" w:type="dxa"/>
              <w:right w:w="85" w:type="dxa"/>
            </w:tcMar>
            <w:vAlign w:val="center"/>
          </w:tcPr>
          <w:p>
            <w:pPr>
              <w:rPr>
                <w:rFonts w:hint="eastAsia" w:eastAsia="方正书宋_GBK"/>
                <w:sz w:val="24"/>
                <w:szCs w:val="24"/>
              </w:rPr>
            </w:pPr>
            <w:r>
              <w:rPr>
                <w:rFonts w:hint="eastAsia" w:eastAsia="方正书宋_GBK"/>
                <w:sz w:val="24"/>
                <w:szCs w:val="24"/>
              </w:rPr>
              <w:t>配电网供电可靠率</w:t>
            </w:r>
          </w:p>
        </w:tc>
        <w:tc>
          <w:tcPr>
            <w:tcW w:w="1148"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951"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预期性</w:t>
            </w:r>
          </w:p>
        </w:tc>
        <w:tc>
          <w:tcPr>
            <w:tcW w:w="952"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99.868</w:t>
            </w:r>
          </w:p>
        </w:tc>
        <w:tc>
          <w:tcPr>
            <w:tcW w:w="1120"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99.893</w:t>
            </w:r>
          </w:p>
        </w:tc>
        <w:tc>
          <w:tcPr>
            <w:tcW w:w="924"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[0.025]</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1135" w:type="dxa"/>
            <w:vMerge w:val="restart"/>
            <w:noWrap w:val="0"/>
            <w:tcMar>
              <w:left w:w="85" w:type="dxa"/>
              <w:right w:w="85" w:type="dxa"/>
            </w:tcMar>
            <w:vAlign w:val="center"/>
          </w:tcPr>
          <w:p>
            <w:pPr>
              <w:rPr>
                <w:rFonts w:hint="eastAsia" w:eastAsia="方正书宋_GBK"/>
                <w:sz w:val="24"/>
                <w:szCs w:val="24"/>
              </w:rPr>
            </w:pPr>
            <w:r>
              <w:rPr>
                <w:rFonts w:hint="eastAsia" w:eastAsia="方正书宋_GBK"/>
                <w:sz w:val="24"/>
                <w:szCs w:val="24"/>
              </w:rPr>
              <w:t>普遍服务水平持续提升</w:t>
            </w:r>
          </w:p>
        </w:tc>
        <w:tc>
          <w:tcPr>
            <w:tcW w:w="2576" w:type="dxa"/>
            <w:noWrap w:val="0"/>
            <w:tcMar>
              <w:left w:w="85" w:type="dxa"/>
              <w:right w:w="85" w:type="dxa"/>
            </w:tcMar>
            <w:vAlign w:val="center"/>
          </w:tcPr>
          <w:p>
            <w:pPr>
              <w:rPr>
                <w:rFonts w:hint="eastAsia" w:eastAsia="方正书宋_GBK"/>
                <w:sz w:val="24"/>
                <w:szCs w:val="24"/>
              </w:rPr>
            </w:pPr>
            <w:r>
              <w:rPr>
                <w:rFonts w:hint="eastAsia" w:eastAsia="方正书宋_GBK"/>
                <w:sz w:val="24"/>
                <w:szCs w:val="24"/>
              </w:rPr>
              <w:t>居民人均生活用电量</w:t>
            </w:r>
          </w:p>
        </w:tc>
        <w:tc>
          <w:tcPr>
            <w:tcW w:w="1148"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千瓦时</w:t>
            </w:r>
          </w:p>
        </w:tc>
        <w:tc>
          <w:tcPr>
            <w:tcW w:w="951"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预期性</w:t>
            </w:r>
          </w:p>
        </w:tc>
        <w:tc>
          <w:tcPr>
            <w:tcW w:w="952"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689</w:t>
            </w:r>
          </w:p>
        </w:tc>
        <w:tc>
          <w:tcPr>
            <w:tcW w:w="1120"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900</w:t>
            </w:r>
          </w:p>
        </w:tc>
        <w:tc>
          <w:tcPr>
            <w:tcW w:w="924"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5.5</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1135" w:type="dxa"/>
            <w:vMerge w:val="continue"/>
            <w:noWrap w:val="0"/>
            <w:tcMar>
              <w:left w:w="85" w:type="dxa"/>
              <w:right w:w="85" w:type="dxa"/>
            </w:tcMar>
            <w:vAlign w:val="center"/>
          </w:tcPr>
          <w:p>
            <w:pPr>
              <w:jc w:val="center"/>
              <w:rPr>
                <w:rFonts w:hint="eastAsia" w:eastAsia="方正书宋_GBK"/>
                <w:sz w:val="24"/>
                <w:szCs w:val="24"/>
              </w:rPr>
            </w:pPr>
          </w:p>
        </w:tc>
        <w:tc>
          <w:tcPr>
            <w:tcW w:w="2576" w:type="dxa"/>
            <w:noWrap w:val="0"/>
            <w:tcMar>
              <w:left w:w="85" w:type="dxa"/>
              <w:right w:w="85" w:type="dxa"/>
            </w:tcMar>
            <w:vAlign w:val="center"/>
          </w:tcPr>
          <w:p>
            <w:pPr>
              <w:rPr>
                <w:rFonts w:hint="eastAsia" w:eastAsia="方正书宋_GBK"/>
                <w:sz w:val="24"/>
                <w:szCs w:val="24"/>
              </w:rPr>
            </w:pPr>
            <w:r>
              <w:rPr>
                <w:rFonts w:hint="eastAsia" w:eastAsia="方正书宋_GBK"/>
                <w:sz w:val="24"/>
                <w:szCs w:val="24"/>
              </w:rPr>
              <w:t>城镇居民天然气普及率</w:t>
            </w:r>
          </w:p>
        </w:tc>
        <w:tc>
          <w:tcPr>
            <w:tcW w:w="1148"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951"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预期性</w:t>
            </w:r>
          </w:p>
        </w:tc>
        <w:tc>
          <w:tcPr>
            <w:tcW w:w="952"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98.5</w:t>
            </w:r>
          </w:p>
        </w:tc>
        <w:tc>
          <w:tcPr>
            <w:tcW w:w="1120"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99.0</w:t>
            </w:r>
          </w:p>
        </w:tc>
        <w:tc>
          <w:tcPr>
            <w:tcW w:w="924"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[0.5]</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1135" w:type="dxa"/>
            <w:vMerge w:val="continue"/>
            <w:noWrap w:val="0"/>
            <w:tcMar>
              <w:left w:w="85" w:type="dxa"/>
              <w:right w:w="85" w:type="dxa"/>
            </w:tcMar>
            <w:vAlign w:val="center"/>
          </w:tcPr>
          <w:p>
            <w:pPr>
              <w:jc w:val="center"/>
              <w:rPr>
                <w:rFonts w:hint="eastAsia" w:eastAsia="方正书宋_GBK"/>
                <w:sz w:val="24"/>
                <w:szCs w:val="24"/>
              </w:rPr>
            </w:pPr>
          </w:p>
        </w:tc>
        <w:tc>
          <w:tcPr>
            <w:tcW w:w="2576" w:type="dxa"/>
            <w:noWrap w:val="0"/>
            <w:tcMar>
              <w:left w:w="85" w:type="dxa"/>
              <w:right w:w="85" w:type="dxa"/>
            </w:tcMar>
            <w:vAlign w:val="center"/>
          </w:tcPr>
          <w:p>
            <w:pPr>
              <w:rPr>
                <w:rFonts w:hint="eastAsia" w:eastAsia="方正书宋_GBK"/>
                <w:sz w:val="24"/>
                <w:szCs w:val="24"/>
              </w:rPr>
            </w:pPr>
            <w:r>
              <w:rPr>
                <w:rFonts w:hint="eastAsia" w:eastAsia="方正书宋_GBK"/>
                <w:sz w:val="24"/>
                <w:szCs w:val="24"/>
              </w:rPr>
              <w:t>电动汽车充电桩（公共及自用）</w:t>
            </w:r>
          </w:p>
        </w:tc>
        <w:tc>
          <w:tcPr>
            <w:tcW w:w="1148"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万个</w:t>
            </w:r>
          </w:p>
        </w:tc>
        <w:tc>
          <w:tcPr>
            <w:tcW w:w="951"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预期性</w:t>
            </w:r>
          </w:p>
        </w:tc>
        <w:tc>
          <w:tcPr>
            <w:tcW w:w="952"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2.6</w:t>
            </w:r>
          </w:p>
        </w:tc>
        <w:tc>
          <w:tcPr>
            <w:tcW w:w="1120"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5</w:t>
            </w:r>
          </w:p>
        </w:tc>
        <w:tc>
          <w:tcPr>
            <w:tcW w:w="924"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14.0</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1135" w:type="dxa"/>
            <w:vMerge w:val="continue"/>
            <w:noWrap w:val="0"/>
            <w:tcMar>
              <w:left w:w="85" w:type="dxa"/>
              <w:right w:w="85" w:type="dxa"/>
            </w:tcMar>
            <w:vAlign w:val="center"/>
          </w:tcPr>
          <w:p>
            <w:pPr>
              <w:jc w:val="center"/>
              <w:rPr>
                <w:rFonts w:hint="eastAsia" w:eastAsia="方正书宋_GBK"/>
                <w:sz w:val="24"/>
                <w:szCs w:val="24"/>
              </w:rPr>
            </w:pPr>
          </w:p>
        </w:tc>
        <w:tc>
          <w:tcPr>
            <w:tcW w:w="2576" w:type="dxa"/>
            <w:noWrap w:val="0"/>
            <w:tcMar>
              <w:left w:w="85" w:type="dxa"/>
              <w:right w:w="85" w:type="dxa"/>
            </w:tcMar>
            <w:vAlign w:val="center"/>
          </w:tcPr>
          <w:p>
            <w:pPr>
              <w:rPr>
                <w:rFonts w:hint="eastAsia" w:eastAsia="方正书宋_GBK"/>
                <w:sz w:val="24"/>
                <w:szCs w:val="24"/>
              </w:rPr>
            </w:pPr>
            <w:r>
              <w:rPr>
                <w:rFonts w:hint="eastAsia" w:eastAsia="方正书宋_GBK"/>
                <w:sz w:val="24"/>
                <w:szCs w:val="24"/>
              </w:rPr>
              <w:t>综合电压合格率</w:t>
            </w:r>
          </w:p>
        </w:tc>
        <w:tc>
          <w:tcPr>
            <w:tcW w:w="1148"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w:t>
            </w:r>
          </w:p>
        </w:tc>
        <w:tc>
          <w:tcPr>
            <w:tcW w:w="951"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预期性</w:t>
            </w:r>
          </w:p>
        </w:tc>
        <w:tc>
          <w:tcPr>
            <w:tcW w:w="952"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99.684</w:t>
            </w:r>
          </w:p>
        </w:tc>
        <w:tc>
          <w:tcPr>
            <w:tcW w:w="1120"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99.849</w:t>
            </w:r>
          </w:p>
        </w:tc>
        <w:tc>
          <w:tcPr>
            <w:tcW w:w="924" w:type="dxa"/>
            <w:noWrap w:val="0"/>
            <w:tcMar>
              <w:left w:w="85" w:type="dxa"/>
              <w:right w:w="85" w:type="dxa"/>
            </w:tcMar>
            <w:vAlign w:val="center"/>
          </w:tcPr>
          <w:p>
            <w:pPr>
              <w:jc w:val="center"/>
              <w:rPr>
                <w:rFonts w:hint="eastAsia" w:eastAsia="方正书宋_GBK"/>
                <w:sz w:val="24"/>
                <w:szCs w:val="24"/>
              </w:rPr>
            </w:pPr>
            <w:r>
              <w:rPr>
                <w:rFonts w:hint="eastAsia" w:eastAsia="方正书宋_GBK"/>
                <w:sz w:val="24"/>
                <w:szCs w:val="24"/>
              </w:rPr>
              <w:t>[0.165]</w:t>
            </w:r>
          </w:p>
        </w:tc>
      </w:tr>
    </w:tbl>
    <w:p>
      <w:pPr>
        <w:snapToGrid w:val="0"/>
        <w:rPr>
          <w:rFonts w:hint="eastAsia" w:eastAsia="方正书宋_GBK"/>
          <w:sz w:val="24"/>
          <w:szCs w:val="24"/>
        </w:rPr>
      </w:pPr>
      <w:r>
        <w:rPr>
          <w:rFonts w:hint="eastAsia" w:eastAsia="方正黑体_GBK"/>
          <w:sz w:val="24"/>
          <w:szCs w:val="24"/>
        </w:rPr>
        <w:t>注：</w:t>
      </w:r>
      <w:r>
        <w:rPr>
          <w:rFonts w:hint="eastAsia" w:eastAsia="方正书宋_GBK"/>
          <w:sz w:val="24"/>
          <w:szCs w:val="24"/>
        </w:rPr>
        <w:t>1．现状数据以统计公布数据为准。</w:t>
      </w:r>
    </w:p>
    <w:p>
      <w:pPr>
        <w:snapToGrid w:val="0"/>
        <w:ind w:firstLine="472" w:firstLineChars="200"/>
        <w:rPr>
          <w:rFonts w:hint="eastAsia" w:eastAsia="方正书宋_GBK"/>
          <w:sz w:val="24"/>
          <w:szCs w:val="24"/>
        </w:rPr>
      </w:pPr>
      <w:r>
        <w:rPr>
          <w:rFonts w:hint="eastAsia" w:eastAsia="方正书宋_GBK"/>
          <w:sz w:val="24"/>
          <w:szCs w:val="24"/>
        </w:rPr>
        <w:t>2．约束性指标以国家下达我市强制性计划为准。</w:t>
      </w:r>
    </w:p>
    <w:p>
      <w:pPr>
        <w:snapToGrid w:val="0"/>
        <w:ind w:firstLine="472" w:firstLineChars="200"/>
        <w:rPr>
          <w:rFonts w:hint="eastAsia" w:eastAsia="方正书宋_GBK"/>
          <w:sz w:val="24"/>
          <w:szCs w:val="24"/>
        </w:rPr>
      </w:pPr>
      <w:r>
        <w:rPr>
          <w:rFonts w:hint="eastAsia" w:eastAsia="方正书宋_GBK"/>
          <w:sz w:val="24"/>
          <w:szCs w:val="24"/>
        </w:rPr>
        <w:t>3．[ ]内为五年累计数。</w:t>
      </w:r>
    </w:p>
    <w:p>
      <w:pPr>
        <w:adjustRightInd/>
        <w:spacing w:line="240" w:lineRule="auto"/>
        <w:ind w:firstLine="632" w:firstLineChars="200"/>
        <w:textAlignment w:val="auto"/>
        <w:rPr>
          <w:rFonts w:hint="eastAsia"/>
        </w:rPr>
      </w:pPr>
      <w:r>
        <w:rPr>
          <w:rFonts w:hint="eastAsia"/>
        </w:rPr>
        <w:t>到2035年，现代能源体系基本建成，绿色生产和消费模式广泛形成，非化石能源消费比重进一步提高，单位GDP能耗持续低于全国平均水平，能源安全保障能力大幅提升，能源消费碳排放系数显著降低。</w:t>
      </w:r>
    </w:p>
    <w:p>
      <w:pPr>
        <w:adjustRightInd/>
        <w:spacing w:line="240" w:lineRule="auto"/>
        <w:ind w:firstLine="632" w:firstLineChars="200"/>
        <w:textAlignment w:val="auto"/>
        <w:rPr>
          <w:rFonts w:hint="eastAsia" w:eastAsia="方正黑体_GBK"/>
        </w:rPr>
      </w:pPr>
      <w:r>
        <w:rPr>
          <w:rFonts w:hint="eastAsia" w:eastAsia="方正黑体_GBK"/>
        </w:rPr>
        <w:t>三、构建多元安全的能源供给体系</w:t>
      </w:r>
    </w:p>
    <w:p>
      <w:pPr>
        <w:adjustRightInd/>
        <w:spacing w:line="240" w:lineRule="auto"/>
        <w:ind w:firstLine="632" w:firstLineChars="200"/>
        <w:textAlignment w:val="auto"/>
        <w:rPr>
          <w:rFonts w:hint="eastAsia"/>
        </w:rPr>
      </w:pPr>
      <w:r>
        <w:rPr>
          <w:rFonts w:hint="eastAsia"/>
        </w:rPr>
        <w:t>坚持积极开发本地清洁能源与有序扩大市外能源调入规模并重，构建多元灵活的能源保障格局和内畅外通的能源供给基础设施体系，提高能源安全储备能力，提升安全运行水平。到2025年，本市能源综合生产能力达到3400万吨标准煤以上。</w:t>
      </w:r>
    </w:p>
    <w:p>
      <w:pPr>
        <w:adjustRightInd/>
        <w:spacing w:line="240" w:lineRule="auto"/>
        <w:ind w:firstLine="632" w:firstLineChars="200"/>
        <w:textAlignment w:val="auto"/>
        <w:rPr>
          <w:rFonts w:hint="eastAsia" w:eastAsia="方正楷体_GBK"/>
        </w:rPr>
      </w:pPr>
      <w:r>
        <w:rPr>
          <w:rFonts w:hint="eastAsia" w:eastAsia="方正楷体_GBK"/>
        </w:rPr>
        <w:t>（一）强化能源供应保障能力。</w:t>
      </w:r>
    </w:p>
    <w:p>
      <w:pPr>
        <w:adjustRightInd/>
        <w:spacing w:line="240" w:lineRule="auto"/>
        <w:ind w:firstLine="632" w:firstLineChars="200"/>
        <w:textAlignment w:val="auto"/>
        <w:rPr>
          <w:rFonts w:hint="eastAsia"/>
        </w:rPr>
      </w:pPr>
      <w:r>
        <w:rPr>
          <w:rFonts w:hint="eastAsia"/>
        </w:rPr>
        <w:t>稳</w:t>
      </w:r>
      <w:r>
        <w:rPr>
          <w:rFonts w:hint="eastAsia"/>
          <w:spacing w:val="-4"/>
        </w:rPr>
        <w:t>定外煤入渝保供渠道。争取国家将重庆市纳入煤炭重点保供区域。按照多煤源（陕晋蒙、新甘宁等）、双通道（包西—西康—</w:t>
      </w:r>
      <w:r>
        <w:rPr>
          <w:rFonts w:hint="eastAsia"/>
        </w:rPr>
        <w:t>襄渝、兰新—兰渝）原则，利用煤矿关闭产能置换指标，采取入股或置换煤炭量等方式，稳定煤炭来源。争取推动达州运输枢纽等铁路运输瓶颈扩能改造，大力提升兰渝、襄渝、广元—达州等北煤入渝铁路运力；继续挖掘三峡航道运输潜力。到2025年，确保外煤入渝供应能力不低于5000万吨/年。</w:t>
      </w:r>
    </w:p>
    <w:p>
      <w:pPr>
        <w:snapToGrid w:val="0"/>
        <w:jc w:val="center"/>
        <w:rPr>
          <w:rFonts w:hint="eastAsia"/>
        </w:rPr>
      </w:pPr>
      <w:r>
        <w:drawing>
          <wp:inline distT="0" distB="0" distL="114300" distR="114300">
            <wp:extent cx="4843780" cy="3979545"/>
            <wp:effectExtent l="0" t="0" r="1397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843780" cy="3979545"/>
                    </a:xfrm>
                    <a:prstGeom prst="rect">
                      <a:avLst/>
                    </a:prstGeom>
                    <a:noFill/>
                    <a:ln>
                      <a:noFill/>
                    </a:ln>
                  </pic:spPr>
                </pic:pic>
              </a:graphicData>
            </a:graphic>
          </wp:inline>
        </w:drawing>
      </w:r>
    </w:p>
    <w:p>
      <w:pPr>
        <w:jc w:val="center"/>
        <w:rPr>
          <w:rFonts w:hint="eastAsia" w:eastAsia="方正黑体_GBK"/>
        </w:rPr>
      </w:pPr>
      <w:r>
        <w:rPr>
          <w:rFonts w:hint="eastAsia" w:eastAsia="方正黑体_GBK"/>
        </w:rPr>
        <w:t>图1  北煤入渝通道示意图</w:t>
      </w:r>
    </w:p>
    <w:p>
      <w:pPr>
        <w:adjustRightInd/>
        <w:spacing w:line="240" w:lineRule="auto"/>
        <w:ind w:firstLine="632" w:firstLineChars="200"/>
        <w:textAlignment w:val="auto"/>
        <w:rPr>
          <w:rFonts w:hint="eastAsia"/>
        </w:rPr>
      </w:pPr>
      <w:r>
        <w:rPr>
          <w:rFonts w:hint="eastAsia"/>
        </w:rPr>
        <w:t>强化电力供应保障。发挥煤电托底保供和辅助服务作用，建成重庆电厂环保迁建项目。统筹“调峰、保供”双重需求，有序推进天然气发电发展，研究指标落后、服役期满煤电机组转为燃气发电机组的可行性，新增气电装机容量500万千瓦。有序实施乌江、涪江等重要干流梯级开发，建设乌江白马航电枢纽、嘉陵江利泽水利枢纽、涪江双江航电枢纽等，研究论证井口航电枢纽。结合资源、环保、土地、并网等建设条件，科学开发风能、太阳能。到2025年全市电力装机容量达</w:t>
      </w:r>
      <w:r>
        <w:rPr>
          <w:rFonts w:hint="eastAsia"/>
          <w:spacing w:val="-4"/>
        </w:rPr>
        <w:t>3650万千瓦。推进川渝特高压主网架建设，建成哈密至重庆±800</w:t>
      </w:r>
      <w:r>
        <w:rPr>
          <w:rFonts w:hint="eastAsia"/>
        </w:rPr>
        <w:t>千伏特高压直流输电工程和四川天府南至铜梁1000千伏特高压交流输变电工程，力争2025年外来电力输送能力达到1500万—1900万千瓦。</w:t>
      </w:r>
    </w:p>
    <w:p>
      <w:pPr>
        <w:jc w:val="center"/>
        <w:rPr>
          <w:rFonts w:hint="eastAsia" w:eastAsia="方正黑体_GBK"/>
        </w:rPr>
      </w:pPr>
      <w:r>
        <w:rPr>
          <w:rFonts w:hint="eastAsia" w:eastAsia="方正黑体_GBK"/>
        </w:rPr>
        <w:t>专栏3  市内电源建设项目</w:t>
      </w:r>
    </w:p>
    <w:p>
      <w:pPr>
        <w:pBdr>
          <w:top w:val="single" w:color="auto" w:sz="6" w:space="1"/>
          <w:left w:val="single" w:color="auto" w:sz="6" w:space="4"/>
          <w:bottom w:val="single" w:color="auto" w:sz="6" w:space="1"/>
          <w:right w:val="single" w:color="auto" w:sz="6" w:space="4"/>
        </w:pBdr>
        <w:snapToGrid w:val="0"/>
        <w:spacing w:line="380" w:lineRule="atLeast"/>
        <w:ind w:left="158" w:leftChars="50" w:right="158" w:rightChars="50" w:firstLine="472" w:firstLineChars="200"/>
        <w:rPr>
          <w:rFonts w:hint="eastAsia" w:eastAsia="方正书宋_GBK"/>
          <w:sz w:val="24"/>
          <w:szCs w:val="24"/>
        </w:rPr>
      </w:pPr>
      <w:r>
        <w:rPr>
          <w:rFonts w:hint="eastAsia" w:eastAsia="方正黑体_GBK"/>
          <w:sz w:val="24"/>
          <w:szCs w:val="24"/>
        </w:rPr>
        <w:t>煤电项目：</w:t>
      </w:r>
      <w:r>
        <w:rPr>
          <w:rFonts w:hint="eastAsia" w:eastAsia="方正书宋_GBK"/>
          <w:sz w:val="24"/>
          <w:szCs w:val="24"/>
        </w:rPr>
        <w:t>建成重庆电厂环保迁建项目。</w:t>
      </w:r>
    </w:p>
    <w:p>
      <w:pPr>
        <w:pBdr>
          <w:top w:val="single" w:color="auto" w:sz="6" w:space="1"/>
          <w:left w:val="single" w:color="auto" w:sz="6" w:space="4"/>
          <w:bottom w:val="single" w:color="auto" w:sz="6" w:space="1"/>
          <w:right w:val="single" w:color="auto" w:sz="6" w:space="4"/>
        </w:pBdr>
        <w:snapToGrid w:val="0"/>
        <w:spacing w:line="380" w:lineRule="atLeast"/>
        <w:ind w:left="158" w:leftChars="50" w:right="158" w:rightChars="50" w:firstLine="472" w:firstLineChars="200"/>
        <w:rPr>
          <w:rFonts w:hint="eastAsia" w:eastAsia="方正书宋_GBK"/>
          <w:sz w:val="24"/>
          <w:szCs w:val="24"/>
        </w:rPr>
      </w:pPr>
      <w:r>
        <w:rPr>
          <w:rFonts w:hint="eastAsia" w:eastAsia="方正黑体_GBK"/>
          <w:sz w:val="24"/>
          <w:szCs w:val="24"/>
        </w:rPr>
        <w:t>天然气发电项目：</w:t>
      </w:r>
      <w:r>
        <w:rPr>
          <w:rFonts w:hint="eastAsia" w:eastAsia="方正书宋_GBK"/>
          <w:sz w:val="24"/>
          <w:szCs w:val="24"/>
        </w:rPr>
        <w:t>建设两江燃机二期、永川港桥园区燃机热电联产项目，规划储备燃气发电项目超过600万千瓦。</w:t>
      </w:r>
    </w:p>
    <w:p>
      <w:pPr>
        <w:pBdr>
          <w:top w:val="single" w:color="auto" w:sz="6" w:space="1"/>
          <w:left w:val="single" w:color="auto" w:sz="6" w:space="4"/>
          <w:bottom w:val="single" w:color="auto" w:sz="6" w:space="1"/>
          <w:right w:val="single" w:color="auto" w:sz="6" w:space="4"/>
        </w:pBdr>
        <w:snapToGrid w:val="0"/>
        <w:spacing w:line="380" w:lineRule="atLeast"/>
        <w:ind w:left="158" w:leftChars="50" w:right="158" w:rightChars="50" w:firstLine="472" w:firstLineChars="200"/>
        <w:rPr>
          <w:rFonts w:hint="eastAsia" w:eastAsia="方正书宋_GBK"/>
          <w:sz w:val="24"/>
          <w:szCs w:val="24"/>
        </w:rPr>
      </w:pPr>
      <w:r>
        <w:rPr>
          <w:rFonts w:hint="eastAsia" w:eastAsia="方正黑体_GBK"/>
          <w:sz w:val="24"/>
          <w:szCs w:val="24"/>
        </w:rPr>
        <w:t>水电项目：</w:t>
      </w:r>
      <w:r>
        <w:rPr>
          <w:rFonts w:hint="eastAsia" w:eastAsia="方正书宋_GBK"/>
          <w:sz w:val="24"/>
          <w:szCs w:val="24"/>
        </w:rPr>
        <w:t>建设乌江白马航电枢纽、嘉陵江利泽水利枢纽、涪江双江航电枢纽。</w:t>
      </w:r>
    </w:p>
    <w:p>
      <w:pPr>
        <w:pBdr>
          <w:top w:val="single" w:color="auto" w:sz="6" w:space="1"/>
          <w:left w:val="single" w:color="auto" w:sz="6" w:space="4"/>
          <w:bottom w:val="single" w:color="auto" w:sz="6" w:space="1"/>
          <w:right w:val="single" w:color="auto" w:sz="6" w:space="4"/>
        </w:pBdr>
        <w:snapToGrid w:val="0"/>
        <w:spacing w:line="380" w:lineRule="atLeast"/>
        <w:ind w:left="158" w:leftChars="50" w:right="158" w:rightChars="50" w:firstLine="472" w:firstLineChars="200"/>
        <w:rPr>
          <w:rFonts w:hint="eastAsia" w:eastAsia="方正书宋_GBK"/>
          <w:sz w:val="24"/>
          <w:szCs w:val="24"/>
        </w:rPr>
      </w:pPr>
      <w:r>
        <w:rPr>
          <w:rFonts w:hint="eastAsia" w:eastAsia="方正黑体_GBK"/>
          <w:sz w:val="24"/>
          <w:szCs w:val="24"/>
        </w:rPr>
        <w:t>风电、光伏项目：</w:t>
      </w:r>
      <w:r>
        <w:rPr>
          <w:rFonts w:hint="eastAsia" w:eastAsia="方正书宋_GBK"/>
          <w:sz w:val="24"/>
          <w:szCs w:val="24"/>
        </w:rPr>
        <w:t>有序推进市内风电、光伏项目建设。</w:t>
      </w:r>
    </w:p>
    <w:p>
      <w:pPr>
        <w:adjustRightInd/>
        <w:spacing w:line="240" w:lineRule="auto"/>
        <w:ind w:firstLine="632" w:firstLineChars="200"/>
        <w:textAlignment w:val="auto"/>
        <w:rPr>
          <w:rFonts w:hint="eastAsia"/>
        </w:rPr>
      </w:pPr>
      <w:r>
        <w:rPr>
          <w:rFonts w:hint="eastAsia"/>
        </w:rPr>
        <w:t>增</w:t>
      </w:r>
      <w:r>
        <w:rPr>
          <w:rFonts w:hint="eastAsia"/>
          <w:spacing w:val="-4"/>
        </w:rPr>
        <w:t>强油气供应保障。挖潜五百梯、沙坪场、卧龙河等老气田，平稳释放磨溪、罗家寨等新区产能，常规天然气年产量保持在50亿立方米左右。稳定涪陵页岩气田产能，推进南川、武隆、彭水、永川、綦江、铜梁、忠县、梁平等页岩气新区开发，实现资源有序接替，到2025年，页岩气年产量达到135亿立方米。争取稳定成品油长江水运通道，确保长江中下游、海进江等油源稳定供应。拓展西南、华南、西北等新增油源供应渠道，形成水路、管道、铁路协同共保格局。到2025年，成品油输入能力达到1050万吨以上。</w:t>
      </w:r>
    </w:p>
    <w:p>
      <w:pPr>
        <w:adjustRightInd/>
        <w:spacing w:line="240" w:lineRule="auto"/>
        <w:jc w:val="center"/>
        <w:rPr>
          <w:rFonts w:hint="eastAsia" w:eastAsia="方正黑体_GBK"/>
        </w:rPr>
      </w:pPr>
    </w:p>
    <w:p>
      <w:pPr>
        <w:jc w:val="center"/>
        <w:rPr>
          <w:rFonts w:hint="eastAsia" w:eastAsia="方正黑体_GBK"/>
        </w:rPr>
      </w:pPr>
      <w:r>
        <w:rPr>
          <w:rFonts w:hint="eastAsia" w:eastAsia="方正黑体_GBK"/>
        </w:rPr>
        <w:t>专栏4  油气勘探开发重点项目</w:t>
      </w:r>
    </w:p>
    <w:p>
      <w:pPr>
        <w:pBdr>
          <w:top w:val="single" w:color="auto" w:sz="6" w:space="1"/>
          <w:left w:val="single" w:color="auto" w:sz="6" w:space="4"/>
          <w:bottom w:val="single" w:color="auto" w:sz="6" w:space="1"/>
          <w:right w:val="single" w:color="auto" w:sz="6" w:space="4"/>
        </w:pBdr>
        <w:spacing w:line="350" w:lineRule="exact"/>
        <w:ind w:left="158" w:leftChars="50" w:right="158" w:rightChars="50" w:firstLine="472" w:firstLineChars="200"/>
        <w:rPr>
          <w:rFonts w:hint="eastAsia" w:eastAsia="方正书宋_GBK"/>
          <w:sz w:val="24"/>
          <w:szCs w:val="24"/>
        </w:rPr>
      </w:pPr>
      <w:r>
        <w:rPr>
          <w:rFonts w:hint="eastAsia" w:eastAsia="方正黑体_GBK"/>
          <w:sz w:val="24"/>
          <w:szCs w:val="24"/>
        </w:rPr>
        <w:t>常规天然气勘探项目：</w:t>
      </w:r>
      <w:r>
        <w:rPr>
          <w:rFonts w:hint="eastAsia" w:eastAsia="方正书宋_GBK"/>
          <w:sz w:val="24"/>
          <w:szCs w:val="24"/>
        </w:rPr>
        <w:t>建设磨溪气田（潼南）震旦系—下古生界、建南气田勘探项目（石柱）。</w:t>
      </w:r>
    </w:p>
    <w:p>
      <w:pPr>
        <w:pBdr>
          <w:top w:val="single" w:color="auto" w:sz="6" w:space="1"/>
          <w:left w:val="single" w:color="auto" w:sz="6" w:space="4"/>
          <w:bottom w:val="single" w:color="auto" w:sz="6" w:space="1"/>
          <w:right w:val="single" w:color="auto" w:sz="6" w:space="4"/>
        </w:pBdr>
        <w:spacing w:line="350" w:lineRule="exact"/>
        <w:ind w:left="158" w:leftChars="50" w:right="158" w:rightChars="50" w:firstLine="472" w:firstLineChars="200"/>
        <w:rPr>
          <w:rFonts w:hint="eastAsia" w:eastAsia="方正书宋_GBK"/>
          <w:sz w:val="24"/>
          <w:szCs w:val="24"/>
        </w:rPr>
      </w:pPr>
      <w:r>
        <w:rPr>
          <w:rFonts w:hint="eastAsia" w:eastAsia="方正黑体_GBK"/>
          <w:sz w:val="24"/>
          <w:szCs w:val="24"/>
        </w:rPr>
        <w:t>页岩气勘探项目：</w:t>
      </w:r>
      <w:r>
        <w:rPr>
          <w:rFonts w:hint="eastAsia" w:eastAsia="方正书宋_GBK"/>
          <w:sz w:val="24"/>
          <w:szCs w:val="24"/>
        </w:rPr>
        <w:t>推进丰都、彭水、万盛、江津等页岩气勘探项目，涪陵页岩气志留系、侏罗系等勘探项目。</w:t>
      </w:r>
    </w:p>
    <w:p>
      <w:pPr>
        <w:pBdr>
          <w:top w:val="single" w:color="auto" w:sz="6" w:space="1"/>
          <w:left w:val="single" w:color="auto" w:sz="6" w:space="4"/>
          <w:bottom w:val="single" w:color="auto" w:sz="6" w:space="1"/>
          <w:right w:val="single" w:color="auto" w:sz="6" w:space="4"/>
        </w:pBdr>
        <w:spacing w:line="350" w:lineRule="exact"/>
        <w:ind w:left="158" w:leftChars="50" w:right="158" w:rightChars="50" w:firstLine="472" w:firstLineChars="200"/>
        <w:rPr>
          <w:rFonts w:hint="eastAsia" w:eastAsia="方正书宋_GBK"/>
          <w:sz w:val="24"/>
          <w:szCs w:val="24"/>
        </w:rPr>
      </w:pPr>
      <w:r>
        <w:rPr>
          <w:rFonts w:hint="eastAsia" w:eastAsia="方正黑体_GBK"/>
          <w:sz w:val="24"/>
          <w:szCs w:val="24"/>
        </w:rPr>
        <w:t>常规天然气开发项目：</w:t>
      </w:r>
      <w:r>
        <w:rPr>
          <w:rFonts w:hint="eastAsia" w:eastAsia="方正书宋_GBK"/>
          <w:sz w:val="24"/>
          <w:szCs w:val="24"/>
        </w:rPr>
        <w:t>建设中石油大庆油气田潼南、合川常规天然气，中石化兴隆气田产能项目；推进潼南—合川、开州罗家寨、磨溪气田（潼南）稳产增能项目，川东北高含硫气田产能调整项目；建设忠县、万州、梁平、垫江、大足、丰都等老气田补充产能工程。</w:t>
      </w:r>
    </w:p>
    <w:p>
      <w:pPr>
        <w:pBdr>
          <w:top w:val="single" w:color="auto" w:sz="6" w:space="1"/>
          <w:left w:val="single" w:color="auto" w:sz="6" w:space="4"/>
          <w:bottom w:val="single" w:color="auto" w:sz="6" w:space="1"/>
          <w:right w:val="single" w:color="auto" w:sz="6" w:space="4"/>
        </w:pBdr>
        <w:spacing w:line="350" w:lineRule="exact"/>
        <w:ind w:left="158" w:leftChars="50" w:right="158" w:rightChars="50" w:firstLine="472" w:firstLineChars="200"/>
        <w:rPr>
          <w:rFonts w:hint="eastAsia" w:eastAsia="方正书宋_GBK"/>
          <w:sz w:val="24"/>
          <w:szCs w:val="24"/>
        </w:rPr>
      </w:pPr>
      <w:r>
        <w:rPr>
          <w:rFonts w:hint="eastAsia" w:eastAsia="方正黑体_GBK"/>
          <w:sz w:val="24"/>
          <w:szCs w:val="24"/>
        </w:rPr>
        <w:t>页岩气开发项目：</w:t>
      </w:r>
      <w:r>
        <w:rPr>
          <w:rFonts w:hint="eastAsia" w:eastAsia="方正书宋_GBK"/>
          <w:sz w:val="24"/>
          <w:szCs w:val="24"/>
        </w:rPr>
        <w:t>推进涪陵、南川页岩气稳产增能项目，复兴、梁平、彭水、永川—荣昌、铜梁—大足、武隆、綦江丁山核心区等区块页岩气商业化开发和产能建设项目。</w:t>
      </w:r>
    </w:p>
    <w:p>
      <w:pPr>
        <w:pBdr>
          <w:top w:val="single" w:color="auto" w:sz="6" w:space="1"/>
          <w:left w:val="single" w:color="auto" w:sz="6" w:space="4"/>
          <w:bottom w:val="single" w:color="auto" w:sz="6" w:space="1"/>
          <w:right w:val="single" w:color="auto" w:sz="6" w:space="4"/>
        </w:pBdr>
        <w:spacing w:line="350" w:lineRule="exact"/>
        <w:ind w:left="158" w:leftChars="50" w:right="158" w:rightChars="50" w:firstLine="472" w:firstLineChars="200"/>
        <w:rPr>
          <w:rFonts w:hint="eastAsia" w:eastAsia="方正书宋_GBK"/>
          <w:sz w:val="24"/>
          <w:szCs w:val="24"/>
        </w:rPr>
      </w:pPr>
      <w:r>
        <w:rPr>
          <w:rFonts w:hint="eastAsia" w:eastAsia="方正黑体_GBK"/>
          <w:sz w:val="24"/>
          <w:szCs w:val="24"/>
        </w:rPr>
        <w:t>其他非常规油气项目：</w:t>
      </w:r>
      <w:r>
        <w:rPr>
          <w:rFonts w:hint="eastAsia" w:eastAsia="方正书宋_GBK"/>
          <w:sz w:val="24"/>
          <w:szCs w:val="24"/>
        </w:rPr>
        <w:t>开展煤层气资源调查评价。争创复兴区块国家级页岩油开发示范基地。</w:t>
      </w:r>
    </w:p>
    <w:p>
      <w:pPr>
        <w:adjustRightInd/>
        <w:spacing w:line="240" w:lineRule="auto"/>
        <w:ind w:firstLine="632" w:firstLineChars="200"/>
        <w:textAlignment w:val="auto"/>
        <w:rPr>
          <w:rFonts w:hint="eastAsia" w:eastAsia="方正楷体_GBK"/>
        </w:rPr>
      </w:pPr>
      <w:r>
        <w:rPr>
          <w:rFonts w:hint="eastAsia" w:eastAsia="方正楷体_GBK"/>
        </w:rPr>
        <w:t>（二）完善能源基础设施网络。</w:t>
      </w:r>
    </w:p>
    <w:p>
      <w:pPr>
        <w:adjustRightInd/>
        <w:spacing w:line="240" w:lineRule="auto"/>
        <w:ind w:firstLine="632" w:firstLineChars="200"/>
        <w:textAlignment w:val="auto"/>
        <w:rPr>
          <w:rFonts w:hint="eastAsia"/>
        </w:rPr>
      </w:pPr>
      <w:r>
        <w:rPr>
          <w:rFonts w:hint="eastAsia"/>
        </w:rPr>
        <w:t>打造坚强局部电网。以“两横三纵”网架为基础，建设永川、中梁山和新玉等500千伏输变电工程，建成重庆电厂环保迁建和蟠龙抽水蓄能电站500千伏配套送出工程，优化特高压与500千伏交流主网架衔接配套，基本建成以主城都市区为重点的坚强局部电网。建设渝东北地区与主网500千伏第二联络通道，保障清洁电力可靠送出；研究论证大足、秀山或酉阳500千伏输变电工程，构建500千伏“双环两射”主网架结构，不断提高电网应对严重故障的抗风险能力。围绕负荷分布和电源布局，增加220千伏变电站布点，有序推进渝东北、渝东南地区220千伏、110千伏电网建设。加强地方电网与国家电网互联互通，实现各供区均衡供电，潮流分布合理，电能质量稳定可靠。</w:t>
      </w:r>
    </w:p>
    <w:p>
      <w:pPr>
        <w:jc w:val="center"/>
      </w:pPr>
      <w:r>
        <w:drawing>
          <wp:inline distT="0" distB="0" distL="114300" distR="114300">
            <wp:extent cx="5619750" cy="39719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619750" cy="3971925"/>
                    </a:xfrm>
                    <a:prstGeom prst="rect">
                      <a:avLst/>
                    </a:prstGeom>
                    <a:noFill/>
                    <a:ln>
                      <a:noFill/>
                    </a:ln>
                  </pic:spPr>
                </pic:pic>
              </a:graphicData>
            </a:graphic>
          </wp:inline>
        </w:drawing>
      </w:r>
    </w:p>
    <w:p>
      <w:pPr>
        <w:jc w:val="center"/>
        <w:rPr>
          <w:rFonts w:hint="eastAsia" w:eastAsia="方正黑体_GBK"/>
        </w:rPr>
      </w:pPr>
      <w:r>
        <w:rPr>
          <w:rFonts w:hint="eastAsia" w:eastAsia="方正黑体_GBK"/>
        </w:rPr>
        <w:t>图2  重庆2025年重大电源和500千伏及以上电网示意图</w:t>
      </w:r>
    </w:p>
    <w:p>
      <w:pPr>
        <w:jc w:val="center"/>
        <w:rPr>
          <w:rFonts w:hint="eastAsia" w:eastAsia="方正黑体_GBK"/>
        </w:rPr>
      </w:pPr>
      <w:r>
        <w:rPr>
          <w:rFonts w:hint="eastAsia" w:eastAsia="方正黑体_GBK"/>
        </w:rPr>
        <w:t>专栏5  电网基础设施</w:t>
      </w:r>
    </w:p>
    <w:p>
      <w:pPr>
        <w:pBdr>
          <w:top w:val="single" w:color="auto" w:sz="6" w:space="1"/>
          <w:left w:val="single" w:color="auto" w:sz="6" w:space="4"/>
          <w:bottom w:val="single" w:color="auto" w:sz="6" w:space="1"/>
          <w:right w:val="single" w:color="auto" w:sz="6" w:space="4"/>
        </w:pBdr>
        <w:spacing w:line="360" w:lineRule="exact"/>
        <w:ind w:left="158" w:leftChars="50" w:right="158" w:rightChars="50" w:firstLine="472" w:firstLineChars="200"/>
        <w:rPr>
          <w:rFonts w:hint="eastAsia" w:eastAsia="方正书宋_GBK"/>
          <w:sz w:val="24"/>
          <w:szCs w:val="24"/>
        </w:rPr>
      </w:pPr>
      <w:r>
        <w:rPr>
          <w:rFonts w:hint="eastAsia" w:eastAsia="方正黑体_GBK"/>
          <w:sz w:val="24"/>
          <w:szCs w:val="24"/>
        </w:rPr>
        <w:t>对外通道：</w:t>
      </w:r>
      <w:r>
        <w:rPr>
          <w:rFonts w:hint="eastAsia" w:eastAsia="方正书宋_GBK"/>
          <w:sz w:val="24"/>
          <w:szCs w:val="24"/>
        </w:rPr>
        <w:t>建设哈密至重庆±800千伏特高压直流输电工程、四川天府南至重庆铜梁1000千伏特高压交流输变电工程。</w:t>
      </w:r>
    </w:p>
    <w:p>
      <w:pPr>
        <w:pBdr>
          <w:top w:val="single" w:color="auto" w:sz="6" w:space="1"/>
          <w:left w:val="single" w:color="auto" w:sz="6" w:space="4"/>
          <w:bottom w:val="single" w:color="auto" w:sz="6" w:space="1"/>
          <w:right w:val="single" w:color="auto" w:sz="6" w:space="4"/>
        </w:pBdr>
        <w:spacing w:line="360" w:lineRule="exact"/>
        <w:ind w:left="158" w:leftChars="50" w:right="158" w:rightChars="50" w:firstLine="472" w:firstLineChars="200"/>
        <w:rPr>
          <w:rFonts w:hint="eastAsia" w:eastAsia="方正书宋_GBK"/>
          <w:sz w:val="24"/>
          <w:szCs w:val="24"/>
        </w:rPr>
      </w:pPr>
      <w:r>
        <w:rPr>
          <w:rFonts w:hint="eastAsia" w:eastAsia="方正黑体_GBK"/>
          <w:sz w:val="24"/>
          <w:szCs w:val="24"/>
        </w:rPr>
        <w:t>电源接入配套项目：</w:t>
      </w:r>
      <w:r>
        <w:rPr>
          <w:rFonts w:hint="eastAsia" w:eastAsia="方正书宋_GBK"/>
          <w:sz w:val="24"/>
          <w:szCs w:val="24"/>
        </w:rPr>
        <w:t>建设重庆电厂环保迁建500千伏送出工程、綦江蟠龙抽水蓄能电站500千伏送出工程。</w:t>
      </w:r>
    </w:p>
    <w:p>
      <w:pPr>
        <w:pBdr>
          <w:top w:val="single" w:color="auto" w:sz="6" w:space="1"/>
          <w:left w:val="single" w:color="auto" w:sz="6" w:space="4"/>
          <w:bottom w:val="single" w:color="auto" w:sz="6" w:space="1"/>
          <w:right w:val="single" w:color="auto" w:sz="6" w:space="4"/>
        </w:pBdr>
        <w:spacing w:line="360" w:lineRule="exact"/>
        <w:ind w:left="158" w:leftChars="50" w:right="158" w:rightChars="50" w:firstLine="472" w:firstLineChars="200"/>
        <w:rPr>
          <w:rFonts w:hint="eastAsia" w:eastAsia="方正书宋_GBK"/>
          <w:sz w:val="24"/>
          <w:szCs w:val="24"/>
        </w:rPr>
      </w:pPr>
      <w:r>
        <w:rPr>
          <w:rFonts w:hint="eastAsia" w:eastAsia="方正黑体_GBK"/>
          <w:sz w:val="24"/>
          <w:szCs w:val="24"/>
        </w:rPr>
        <w:t>变电站新/扩建项目：</w:t>
      </w:r>
      <w:r>
        <w:rPr>
          <w:rFonts w:hint="eastAsia" w:eastAsia="方正书宋_GBK"/>
          <w:sz w:val="24"/>
          <w:szCs w:val="24"/>
        </w:rPr>
        <w:t>新建永川、中梁山、新玉500千伏输变电工程，推动金山、九盘扩主变和石坪主变增容工程实施，续建渝北金山500千伏输变电工程。研究论证大足、秀山或酉阳等500千伏输变电工程。</w:t>
      </w:r>
    </w:p>
    <w:p>
      <w:pPr>
        <w:pBdr>
          <w:top w:val="single" w:color="auto" w:sz="6" w:space="1"/>
          <w:left w:val="single" w:color="auto" w:sz="6" w:space="4"/>
          <w:bottom w:val="single" w:color="auto" w:sz="6" w:space="1"/>
          <w:right w:val="single" w:color="auto" w:sz="6" w:space="4"/>
        </w:pBdr>
        <w:spacing w:line="360" w:lineRule="exact"/>
        <w:ind w:left="158" w:leftChars="50" w:right="158" w:rightChars="50" w:firstLine="472" w:firstLineChars="200"/>
        <w:rPr>
          <w:rFonts w:hint="eastAsia" w:eastAsia="方正书宋_GBK"/>
          <w:sz w:val="24"/>
          <w:szCs w:val="24"/>
        </w:rPr>
      </w:pPr>
      <w:r>
        <w:rPr>
          <w:rFonts w:hint="eastAsia" w:eastAsia="方正黑体_GBK"/>
          <w:sz w:val="24"/>
          <w:szCs w:val="24"/>
        </w:rPr>
        <w:t>电网优化、加强项目：</w:t>
      </w:r>
      <w:r>
        <w:rPr>
          <w:rFonts w:hint="eastAsia" w:eastAsia="方正书宋_GBK"/>
          <w:sz w:val="24"/>
          <w:szCs w:val="24"/>
        </w:rPr>
        <w:t>实施500千伏安隆线和南隆线出串间隔调整工程，推动万县至五马500千伏线路工程和长寿—明月山—石坪线路增容工程。</w:t>
      </w:r>
    </w:p>
    <w:p>
      <w:pPr>
        <w:adjustRightInd/>
        <w:spacing w:line="240" w:lineRule="auto"/>
        <w:ind w:firstLine="632" w:firstLineChars="200"/>
        <w:textAlignment w:val="auto"/>
        <w:rPr>
          <w:rFonts w:hint="eastAsia"/>
        </w:rPr>
      </w:pPr>
      <w:r>
        <w:rPr>
          <w:rFonts w:hint="eastAsia"/>
        </w:rPr>
        <w:t>完善天然气输气管网。按照国家部署，协同推进川气东送二线重庆段建设，形成“一纵三横多支线”跨省管网格局，增强川渝天然气资源服务全国能源保障能力。打造以川渝环网和渝西管网为骨架，铜锣峡、黄草峡储气库为节点，城镇燃气配网为触角的主城都市区产供储销体系。建设万源—城口、奉节—巫溪、云奉巫复线等管网，补齐渝东北供气短板；强化渝东南武陵山区城镇群管道运维，适时启动渝东南地区管网互联互通工程，增强天然气保障能力，形成国家干网、市级管网、储气调峰设施、城镇燃气配网互联互通，多方来气、气气竞争、就近利用，上中下游高效衔接的格局。</w:t>
      </w:r>
    </w:p>
    <w:p>
      <w:pPr>
        <w:jc w:val="center"/>
      </w:pPr>
      <w:r>
        <w:drawing>
          <wp:inline distT="0" distB="0" distL="114300" distR="114300">
            <wp:extent cx="5483860" cy="3890645"/>
            <wp:effectExtent l="0" t="0" r="2540" b="14605"/>
            <wp:docPr id="3" name="图片 3" descr="油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油气"/>
                    <pic:cNvPicPr>
                      <a:picLocks noChangeAspect="1"/>
                    </pic:cNvPicPr>
                  </pic:nvPicPr>
                  <pic:blipFill>
                    <a:blip r:embed="rId9"/>
                    <a:stretch>
                      <a:fillRect/>
                    </a:stretch>
                  </pic:blipFill>
                  <pic:spPr>
                    <a:xfrm>
                      <a:off x="0" y="0"/>
                      <a:ext cx="5483860" cy="3890645"/>
                    </a:xfrm>
                    <a:prstGeom prst="rect">
                      <a:avLst/>
                    </a:prstGeom>
                    <a:noFill/>
                    <a:ln>
                      <a:noFill/>
                    </a:ln>
                  </pic:spPr>
                </pic:pic>
              </a:graphicData>
            </a:graphic>
          </wp:inline>
        </w:drawing>
      </w:r>
    </w:p>
    <w:p>
      <w:pPr>
        <w:jc w:val="center"/>
        <w:rPr>
          <w:rFonts w:hint="eastAsia" w:eastAsia="方正黑体_GBK"/>
        </w:rPr>
      </w:pPr>
      <w:r>
        <w:rPr>
          <w:rFonts w:hint="eastAsia" w:eastAsia="方正黑体_GBK"/>
        </w:rPr>
        <w:t>图3  重庆2025年天然气输气干线示意图</w:t>
      </w:r>
    </w:p>
    <w:p>
      <w:pPr>
        <w:adjustRightInd/>
        <w:spacing w:line="240" w:lineRule="auto"/>
        <w:ind w:firstLine="632" w:firstLineChars="200"/>
        <w:textAlignment w:val="auto"/>
        <w:rPr>
          <w:rFonts w:hint="eastAsia"/>
        </w:rPr>
      </w:pPr>
      <w:r>
        <w:rPr>
          <w:rFonts w:hint="eastAsia"/>
        </w:rPr>
        <w:t>优化调整成品油管网。稳步提升遵义—重庆成品油管道管输负荷和规模，结合伏牛溪油库搬迁优化兰成渝成品油管道，建成长寿—江北国际机场航油管道，新建成品油管道300公里，新增成品油仓储设施库容20万立方米，形成以江北、长寿、永川为集散中心，涪陵、万州、黔江、秀山为重点区域仓储基地的成品油配送体系。</w:t>
      </w:r>
    </w:p>
    <w:p>
      <w:pPr>
        <w:jc w:val="center"/>
        <w:rPr>
          <w:rFonts w:hint="eastAsia" w:eastAsia="方正黑体_GBK"/>
        </w:rPr>
      </w:pPr>
      <w:r>
        <w:rPr>
          <w:rFonts w:hint="eastAsia" w:eastAsia="方正黑体_GBK"/>
        </w:rPr>
        <w:t>专栏6  油气管网项目</w:t>
      </w:r>
    </w:p>
    <w:p>
      <w:pPr>
        <w:pBdr>
          <w:top w:val="single" w:color="auto" w:sz="6" w:space="1"/>
          <w:left w:val="single" w:color="auto" w:sz="6" w:space="4"/>
          <w:bottom w:val="single" w:color="auto" w:sz="6" w:space="1"/>
          <w:right w:val="single" w:color="auto" w:sz="6" w:space="4"/>
        </w:pBdr>
        <w:spacing w:line="360" w:lineRule="exact"/>
        <w:ind w:left="158" w:leftChars="50" w:right="158" w:rightChars="50" w:firstLine="472" w:firstLineChars="200"/>
        <w:rPr>
          <w:rFonts w:hint="eastAsia" w:eastAsia="方正书宋_GBK"/>
          <w:sz w:val="24"/>
          <w:szCs w:val="24"/>
        </w:rPr>
      </w:pPr>
      <w:r>
        <w:rPr>
          <w:rFonts w:hint="eastAsia" w:eastAsia="方正黑体_GBK"/>
          <w:sz w:val="24"/>
          <w:szCs w:val="24"/>
        </w:rPr>
        <w:t>天然气管道：</w:t>
      </w:r>
      <w:r>
        <w:rPr>
          <w:rFonts w:hint="eastAsia" w:eastAsia="方正书宋_GBK"/>
          <w:sz w:val="24"/>
          <w:szCs w:val="24"/>
        </w:rPr>
        <w:t>建设川气东送二线及配套输气支线等国家干网。进一步完善市域输气管网，建设永川—江津、江津—南川、云奉巫复线、奉节—巫溪、万源—城口、南川—两江新区、东胜—大有、江津来滩</w:t>
      </w:r>
      <w:r>
        <w:rPr>
          <w:rFonts w:hint="eastAsia" w:eastAsia="方正书宋_GBK"/>
          <w:sz w:val="24"/>
          <w:szCs w:val="24"/>
        </w:rPr>
        <w:softHyphen/>
      </w:r>
      <w:r>
        <w:rPr>
          <w:rFonts w:hint="eastAsia" w:eastAsia="方正书宋_GBK"/>
          <w:sz w:val="24"/>
          <w:szCs w:val="24"/>
        </w:rPr>
        <w:softHyphen/>
      </w:r>
      <w:r>
        <w:rPr>
          <w:rFonts w:hint="eastAsia" w:eastAsia="方正书宋_GBK"/>
          <w:sz w:val="24"/>
          <w:szCs w:val="24"/>
        </w:rPr>
        <w:t>—支坪、临江—港桥、巴南姜家—界石、足202—璧山虎溪、足208井试采地面工程项目、三合—双福、黄草峡—江南清管站、合川铜相线—银祥配气站、铜锣峡储气库—龙兴配气站、涪陵长南线—长江西阀室等天然气输气管道，适时推进渝西、永川—荣昌、武隆、梁平—忠县、綦江丁山等页岩气区块外输通道。积极完善渝东南、渝东北等地区天然气管网，论证渝东南管网互联互通工程。推动建万线、巴渝线、卧渝线等老旧管网及站场适应性改造工程，配套建设储气库、工业园区、燃机电厂供气主管道。</w:t>
      </w:r>
    </w:p>
    <w:p>
      <w:pPr>
        <w:pBdr>
          <w:top w:val="single" w:color="auto" w:sz="6" w:space="1"/>
          <w:left w:val="single" w:color="auto" w:sz="6" w:space="4"/>
          <w:bottom w:val="single" w:color="auto" w:sz="6" w:space="1"/>
          <w:right w:val="single" w:color="auto" w:sz="6" w:space="4"/>
        </w:pBdr>
        <w:spacing w:line="360" w:lineRule="exact"/>
        <w:ind w:left="158" w:leftChars="50" w:right="158" w:rightChars="50" w:firstLine="472" w:firstLineChars="200"/>
        <w:rPr>
          <w:rFonts w:hint="eastAsia" w:eastAsia="方正书宋_GBK"/>
          <w:sz w:val="24"/>
          <w:szCs w:val="24"/>
        </w:rPr>
      </w:pPr>
      <w:r>
        <w:rPr>
          <w:rFonts w:hint="eastAsia" w:eastAsia="方正黑体_GBK"/>
          <w:sz w:val="24"/>
          <w:szCs w:val="24"/>
        </w:rPr>
        <w:t>成品油管道：</w:t>
      </w:r>
      <w:r>
        <w:rPr>
          <w:rFonts w:hint="eastAsia" w:eastAsia="方正书宋_GBK"/>
          <w:sz w:val="24"/>
          <w:szCs w:val="24"/>
        </w:rPr>
        <w:t>建成长寿—江北国际机场航油管道，推动兰成渝和江津—荣昌成品油管道互联互通。推动伏牛溪油库搬迁，建设配套成品油管道。</w:t>
      </w:r>
    </w:p>
    <w:p>
      <w:pPr>
        <w:adjustRightInd/>
        <w:spacing w:line="240" w:lineRule="auto"/>
        <w:ind w:firstLine="632" w:firstLineChars="200"/>
        <w:textAlignment w:val="auto"/>
        <w:rPr>
          <w:rFonts w:hint="eastAsia" w:eastAsia="方正楷体_GBK"/>
        </w:rPr>
      </w:pPr>
      <w:r>
        <w:rPr>
          <w:rFonts w:hint="eastAsia" w:eastAsia="方正楷体_GBK"/>
        </w:rPr>
        <w:t>（三）提升能源运行安全水平。</w:t>
      </w:r>
    </w:p>
    <w:p>
      <w:pPr>
        <w:adjustRightInd/>
        <w:spacing w:line="240" w:lineRule="auto"/>
        <w:ind w:firstLine="632" w:firstLineChars="200"/>
        <w:textAlignment w:val="auto"/>
        <w:rPr>
          <w:rFonts w:hint="eastAsia"/>
        </w:rPr>
      </w:pPr>
      <w:r>
        <w:rPr>
          <w:rFonts w:hint="eastAsia"/>
        </w:rPr>
        <w:t>提升能源储备调度能力。依托港口码头、铁路站点、用户货场，适时新建、改扩建一批储煤基地，力争全市储煤能力达到750万吨/年以上。加快推进抽水蓄能电站建设，建成綦江蟠龙抽水蓄能电站，启动丰都栗子湾等一批抽水蓄能电站建设。构建以地下储气库为主，气田调峰、CNG和LNG储备站为辅，可中断用户为补充的天然气综合性调峰系统。力争到2025年，全市储气调峰能力达到38.6亿立方米，完成3天日均消费量及城镇燃气企业年用气量5%的储气能力建设任务。推进伏牛溪油库等老旧“城中库”搬迁，建设中国航油西南战略储运基地、一品油库等具备铁路、水运、管道多种运输方式条件的集散库，持续完善市级成品油应急储备机制，提升成品油储备能力。</w:t>
      </w:r>
    </w:p>
    <w:p>
      <w:pPr>
        <w:jc w:val="center"/>
        <w:rPr>
          <w:rFonts w:hint="eastAsia" w:eastAsia="方正黑体_GBK"/>
        </w:rPr>
      </w:pPr>
      <w:r>
        <w:rPr>
          <w:rFonts w:hint="eastAsia" w:eastAsia="方正黑体_GBK"/>
        </w:rPr>
        <w:t>专栏7  能源储备及调峰项目</w:t>
      </w:r>
    </w:p>
    <w:p>
      <w:pPr>
        <w:pBdr>
          <w:top w:val="single" w:color="auto" w:sz="6" w:space="1"/>
          <w:left w:val="single" w:color="auto" w:sz="6" w:space="4"/>
          <w:bottom w:val="single" w:color="auto" w:sz="6" w:space="1"/>
          <w:right w:val="single" w:color="auto" w:sz="6" w:space="4"/>
        </w:pBdr>
        <w:snapToGrid w:val="0"/>
        <w:spacing w:line="400" w:lineRule="atLeast"/>
        <w:ind w:left="158" w:leftChars="50" w:right="158" w:rightChars="50" w:firstLine="472" w:firstLineChars="200"/>
        <w:rPr>
          <w:rFonts w:hint="eastAsia" w:eastAsia="方正书宋_GBK"/>
          <w:sz w:val="24"/>
          <w:szCs w:val="24"/>
        </w:rPr>
      </w:pPr>
      <w:r>
        <w:rPr>
          <w:rFonts w:hint="eastAsia" w:eastAsia="方正黑体_GBK"/>
          <w:sz w:val="24"/>
          <w:szCs w:val="24"/>
        </w:rPr>
        <w:t>储煤设施：</w:t>
      </w:r>
      <w:r>
        <w:rPr>
          <w:rFonts w:hint="eastAsia" w:eastAsia="方正书宋_GBK"/>
          <w:sz w:val="24"/>
          <w:szCs w:val="24"/>
        </w:rPr>
        <w:t>规划建设一批储煤基地。</w:t>
      </w:r>
    </w:p>
    <w:p>
      <w:pPr>
        <w:pBdr>
          <w:top w:val="single" w:color="auto" w:sz="6" w:space="1"/>
          <w:left w:val="single" w:color="auto" w:sz="6" w:space="4"/>
          <w:bottom w:val="single" w:color="auto" w:sz="6" w:space="1"/>
          <w:right w:val="single" w:color="auto" w:sz="6" w:space="4"/>
        </w:pBdr>
        <w:snapToGrid w:val="0"/>
        <w:spacing w:line="400" w:lineRule="atLeast"/>
        <w:ind w:left="158" w:leftChars="50" w:right="158" w:rightChars="50" w:firstLine="472" w:firstLineChars="200"/>
        <w:rPr>
          <w:rFonts w:hint="eastAsia" w:eastAsia="方正书宋_GBK"/>
          <w:sz w:val="24"/>
          <w:szCs w:val="24"/>
        </w:rPr>
      </w:pPr>
      <w:r>
        <w:rPr>
          <w:rFonts w:hint="eastAsia" w:eastAsia="方正黑体_GBK"/>
          <w:sz w:val="24"/>
          <w:szCs w:val="24"/>
        </w:rPr>
        <w:t>抽水蓄能：</w:t>
      </w:r>
      <w:r>
        <w:rPr>
          <w:rFonts w:hint="eastAsia" w:eastAsia="方正书宋_GBK"/>
          <w:sz w:val="24"/>
          <w:szCs w:val="24"/>
        </w:rPr>
        <w:t>建成綦江蟠龙抽水蓄能项目，开工建设丰都栗子湾抽水蓄能项目，适时启动一批已纳入国家抽水蓄能规划的项目建设。</w:t>
      </w:r>
    </w:p>
    <w:p>
      <w:pPr>
        <w:pBdr>
          <w:top w:val="single" w:color="auto" w:sz="6" w:space="1"/>
          <w:left w:val="single" w:color="auto" w:sz="6" w:space="4"/>
          <w:bottom w:val="single" w:color="auto" w:sz="6" w:space="1"/>
          <w:right w:val="single" w:color="auto" w:sz="6" w:space="4"/>
        </w:pBdr>
        <w:snapToGrid w:val="0"/>
        <w:spacing w:line="400" w:lineRule="atLeast"/>
        <w:ind w:left="158" w:leftChars="50" w:right="158" w:rightChars="50" w:firstLine="472" w:firstLineChars="200"/>
        <w:rPr>
          <w:rFonts w:hint="eastAsia" w:eastAsia="方正书宋_GBK"/>
          <w:sz w:val="24"/>
          <w:szCs w:val="24"/>
        </w:rPr>
      </w:pPr>
      <w:r>
        <w:rPr>
          <w:rFonts w:hint="eastAsia" w:eastAsia="方正黑体_GBK"/>
          <w:sz w:val="24"/>
          <w:szCs w:val="24"/>
        </w:rPr>
        <w:t>天然气储备：</w:t>
      </w:r>
      <w:r>
        <w:rPr>
          <w:rFonts w:hint="eastAsia" w:eastAsia="方正书宋_GBK"/>
          <w:sz w:val="24"/>
          <w:szCs w:val="24"/>
        </w:rPr>
        <w:t>建设相国寺储气库扩大工作压力区间工程，建成投用铜锣峡和黄草峡储气库，启动沙坪场、万顺场等储气库前期论证。规划建设九龙坡、万州、黔江、永川等区域性调峰设施。</w:t>
      </w:r>
    </w:p>
    <w:p>
      <w:pPr>
        <w:pBdr>
          <w:top w:val="single" w:color="auto" w:sz="6" w:space="1"/>
          <w:left w:val="single" w:color="auto" w:sz="6" w:space="4"/>
          <w:bottom w:val="single" w:color="auto" w:sz="6" w:space="1"/>
          <w:right w:val="single" w:color="auto" w:sz="6" w:space="4"/>
        </w:pBdr>
        <w:snapToGrid w:val="0"/>
        <w:spacing w:line="400" w:lineRule="atLeast"/>
        <w:ind w:left="158" w:leftChars="50" w:right="158" w:rightChars="50" w:firstLine="472" w:firstLineChars="200"/>
        <w:rPr>
          <w:rFonts w:hint="eastAsia" w:eastAsia="方正书宋_GBK"/>
          <w:sz w:val="24"/>
          <w:szCs w:val="24"/>
        </w:rPr>
      </w:pPr>
      <w:r>
        <w:rPr>
          <w:rFonts w:hint="eastAsia" w:eastAsia="方正黑体_GBK"/>
          <w:sz w:val="24"/>
          <w:szCs w:val="24"/>
        </w:rPr>
        <w:t>成品油储备：</w:t>
      </w:r>
      <w:r>
        <w:rPr>
          <w:rFonts w:hint="eastAsia" w:eastAsia="方正书宋_GBK"/>
          <w:sz w:val="24"/>
          <w:szCs w:val="24"/>
        </w:rPr>
        <w:t>建成中国航油西南战略储运基地，推进大渡口伏牛溪油化品仓储基地、万州驸马油库搬迁工作，规划建设长寿、永川、巴南、万州、合川、潼南等集散油库。</w:t>
      </w:r>
    </w:p>
    <w:p>
      <w:pPr>
        <w:adjustRightInd/>
        <w:spacing w:line="240" w:lineRule="auto"/>
        <w:ind w:firstLine="632" w:firstLineChars="200"/>
        <w:textAlignment w:val="auto"/>
        <w:rPr>
          <w:rFonts w:hint="eastAsia"/>
        </w:rPr>
      </w:pPr>
      <w:r>
        <w:rPr>
          <w:rFonts w:hint="eastAsia"/>
        </w:rPr>
        <w:t>提升能源应急保障能力。制定和完善煤炭、电力、成品油、天然气等供给保障应急预案，明确应急启动条件、责任主体和保障措施，把握民生用能底线，梳理紧急情况压减用能单位清单，建立和完善应急指挥系统和保障队伍。建立能源安全预警体系，加强能源月度、季度监测，动态监控能源供应保障风险。督促能源企业落实安全供应主体责任和安全供应措施，确保各类能源生产、输送、调度、消费安全。强化重要能源基础设施、设备检测和巡视维护，提高抵御地质灾害、极端天气等突发事件冲击的能力。做好电力安全风险管控工作，编制大面积停电事件应急预案，进一步加强应急备用和调峰电源能力建设，提高电网黑启动电源数量和高安全等级保障电源规模。重视电力应急机构、队伍、装备建设，逐渐补齐短板，构建稳定性和灵活性兼顾的电力供应安全与应急保障体系，提升电力应急供应和事故恢复能力，有效应对恶劣天气等极端情形下电力供应问题。</w:t>
      </w:r>
    </w:p>
    <w:p>
      <w:pPr>
        <w:adjustRightInd/>
        <w:spacing w:line="240" w:lineRule="auto"/>
        <w:ind w:firstLine="632" w:firstLineChars="200"/>
        <w:textAlignment w:val="auto"/>
        <w:rPr>
          <w:rFonts w:hint="eastAsia"/>
        </w:rPr>
      </w:pPr>
      <w:r>
        <w:rPr>
          <w:rFonts w:hint="eastAsia"/>
        </w:rPr>
        <w:t>强化能源安全生产。坚持管行业必须管安全，进一步健全能</w:t>
      </w:r>
      <w:r>
        <w:rPr>
          <w:rFonts w:hint="eastAsia"/>
          <w:spacing w:val="-4"/>
        </w:rPr>
        <w:t>源领域安全生产监督管理体制。完善油气长输管道保护责任清单，</w:t>
      </w:r>
      <w:r>
        <w:rPr>
          <w:rFonts w:hint="eastAsia"/>
        </w:rPr>
        <w:t>推动全市油气长输管道保护工作进入法治化、规范化轨道。加强油气长输管道高后果区风险管控，严防第三方施工破坏，推动安全生产和安全事故防范工作规范化、常态化。提升电力安全核心芯片自主可控水平，加强通信等网络漏洞安全管理，提高网络安全自主可控水平，增强态势感知、预警及协同处理能力。推动建立“企业负责、行业自律、政府监管、社会监督”的电化学储能电站安全管理机制。</w:t>
      </w:r>
    </w:p>
    <w:p>
      <w:pPr>
        <w:adjustRightInd/>
        <w:spacing w:line="240" w:lineRule="auto"/>
        <w:ind w:firstLine="632" w:firstLineChars="200"/>
        <w:textAlignment w:val="auto"/>
        <w:rPr>
          <w:rFonts w:hint="eastAsia" w:eastAsia="方正楷体_GBK"/>
        </w:rPr>
      </w:pPr>
      <w:r>
        <w:rPr>
          <w:rFonts w:hint="eastAsia" w:eastAsia="方正楷体_GBK"/>
        </w:rPr>
        <w:t>（四）夯实能源惠民利民保障。</w:t>
      </w:r>
    </w:p>
    <w:p>
      <w:pPr>
        <w:adjustRightInd/>
        <w:spacing w:line="240" w:lineRule="auto"/>
        <w:ind w:firstLine="632" w:firstLineChars="200"/>
        <w:textAlignment w:val="auto"/>
        <w:rPr>
          <w:rFonts w:hint="eastAsia"/>
        </w:rPr>
      </w:pPr>
      <w:r>
        <w:rPr>
          <w:rFonts w:hint="eastAsia"/>
        </w:rPr>
        <w:t>完</w:t>
      </w:r>
      <w:r>
        <w:rPr>
          <w:rFonts w:hint="eastAsia"/>
          <w:spacing w:val="-4"/>
        </w:rPr>
        <w:t>善城市居民用能基础设施。提升110千伏和10千伏城市配</w:t>
      </w:r>
      <w:r>
        <w:rPr>
          <w:rFonts w:hint="eastAsia"/>
        </w:rPr>
        <w:t>电网供电能力，促进新能源、分布式能源、电动汽车充换电设施等多元化负荷与配电网协调有序发展，打造适应山地高楼、密集负荷的高自愈、高可靠城市配电网。继续实施城镇居民供电设施改造，全面提升居民小区供电安全保障水平。提高边远区县供气能力，完成城口、巫溪等区县天然气管道建设。加快城镇燃气配套设施建设，扩大管网覆盖范围，完善区域供气网络，提升城镇天然气利用水平。加快推进城镇燃气老旧管道改造，消除安全隐患，增强天然气分户式采暖和集中采暖保障能力。</w:t>
      </w:r>
    </w:p>
    <w:p>
      <w:pPr>
        <w:adjustRightInd/>
        <w:spacing w:line="240" w:lineRule="auto"/>
        <w:ind w:firstLine="632" w:firstLineChars="200"/>
        <w:textAlignment w:val="auto"/>
        <w:rPr>
          <w:rFonts w:hint="eastAsia"/>
        </w:rPr>
      </w:pPr>
      <w:r>
        <w:rPr>
          <w:rFonts w:hint="eastAsia"/>
        </w:rPr>
        <w:t>建设多元清洁供能体系助力乡村振兴。实施乡村清洁能源建设工程，加强煤炭清洁化利用。按照“宜管则管”“宜罐则罐”原则，积极稳妥推进燃气下乡，建设安全可靠的乡村储气罐站和微管网供气系统。依托乡村网格化规划，建设经济耐用、灵活可靠的农村配电网，实现从“用上电”到“用好电”。推动农村分布式光伏项目，做到“同步接网、全额消纳、及时结算”，切实提升农户收入。就近利用农作物秸秆、畜禽粪便、林业剩余物等生物质资源，因地制宜发展农村可再生能源，积极稳妥推进散煤替代，推进用能形态转型。</w:t>
      </w:r>
    </w:p>
    <w:p>
      <w:pPr>
        <w:adjustRightInd/>
        <w:spacing w:line="240" w:lineRule="auto"/>
        <w:ind w:firstLine="632" w:firstLineChars="200"/>
        <w:textAlignment w:val="auto"/>
        <w:rPr>
          <w:rFonts w:hint="eastAsia" w:eastAsia="方正黑体_GBK"/>
        </w:rPr>
      </w:pPr>
      <w:r>
        <w:rPr>
          <w:rFonts w:hint="eastAsia" w:eastAsia="方正黑体_GBK"/>
        </w:rPr>
        <w:t>四、推动能源结构绿色低碳转型</w:t>
      </w:r>
    </w:p>
    <w:p>
      <w:pPr>
        <w:adjustRightInd/>
        <w:spacing w:line="240" w:lineRule="auto"/>
        <w:ind w:firstLine="632" w:firstLineChars="200"/>
        <w:textAlignment w:val="auto"/>
        <w:rPr>
          <w:rFonts w:hint="eastAsia"/>
        </w:rPr>
      </w:pPr>
      <w:r>
        <w:rPr>
          <w:rFonts w:hint="eastAsia"/>
        </w:rPr>
        <w:t>实施能源领域碳达峰碳中和行动，科学有序推动能源生产消费方式绿色低碳变革。实施可再生能源替代，减少化石能源消费。加强产业布局和能耗“双控”政策衔接，促进重点用能领域用能结构优化和能效提升。</w:t>
      </w:r>
    </w:p>
    <w:p>
      <w:pPr>
        <w:adjustRightInd/>
        <w:spacing w:line="240" w:lineRule="auto"/>
        <w:ind w:firstLine="632" w:firstLineChars="200"/>
        <w:textAlignment w:val="auto"/>
        <w:rPr>
          <w:rFonts w:hint="eastAsia" w:eastAsia="方正楷体_GBK"/>
        </w:rPr>
      </w:pPr>
      <w:r>
        <w:rPr>
          <w:rFonts w:hint="eastAsia" w:eastAsia="方正楷体_GBK"/>
        </w:rPr>
        <w:t>（一）降低煤炭在能源供给和消费结构中的占比。</w:t>
      </w:r>
    </w:p>
    <w:p>
      <w:pPr>
        <w:adjustRightInd/>
        <w:spacing w:line="240" w:lineRule="auto"/>
        <w:ind w:firstLine="632" w:firstLineChars="200"/>
        <w:textAlignment w:val="auto"/>
        <w:rPr>
          <w:rFonts w:hint="eastAsia"/>
        </w:rPr>
      </w:pPr>
      <w:r>
        <w:rPr>
          <w:rFonts w:hint="eastAsia"/>
        </w:rPr>
        <w:t>持续提高清洁能源供给占比。启动一批以实现碳中和为目标的可再生能源项目试点示范。开展风电场技改扩能“退旧换新”大容量高效率机组，提高风电发电效率。有序推进整县屋顶光伏建设，加快工业园区、经济开发区、公共建筑等屋顶分布式光伏推广利用。因地制宜推动生物质发电，稳步发展城镇生活垃圾焚烧发电，有序发展农林生物质发电和沼气发电。到2025年，全市清洁能源装机占比达到50%。</w:t>
      </w:r>
    </w:p>
    <w:p>
      <w:pPr>
        <w:adjustRightInd/>
        <w:spacing w:line="240" w:lineRule="auto"/>
        <w:ind w:firstLine="632" w:firstLineChars="200"/>
        <w:textAlignment w:val="auto"/>
        <w:rPr>
          <w:rFonts w:hint="eastAsia"/>
        </w:rPr>
      </w:pPr>
      <w:r>
        <w:rPr>
          <w:rFonts w:hint="eastAsia"/>
        </w:rPr>
        <w:t>加快推动燃煤替代。控制非电行业燃煤消费量，提高煤炭用于发电的比例。严格控制钢铁、化工、水泥等用煤行业煤炭消费，有序推进“煤改电”“煤改气”工程。严控新增耗煤项目，新、改、扩建钢铁、化工、水泥等项目实施煤炭减量替代，推进城乡以电代煤、以气代煤。到2025年，实现电力占终端能源消费比重达到25%以上，替代电量70亿千瓦时。</w:t>
      </w:r>
    </w:p>
    <w:p>
      <w:pPr>
        <w:adjustRightInd/>
        <w:spacing w:line="240" w:lineRule="auto"/>
        <w:ind w:firstLine="632" w:firstLineChars="200"/>
        <w:textAlignment w:val="auto"/>
        <w:rPr>
          <w:rFonts w:hint="eastAsia"/>
        </w:rPr>
      </w:pPr>
      <w:r>
        <w:rPr>
          <w:rFonts w:hint="eastAsia"/>
        </w:rPr>
        <w:t>减少能源产业碳排放。加强化石能源开发生产碳减排。推动能源加工储运提效降碳，加快燃煤发电机组清洁高效利用、超低排放改造和降低煤耗改造，常规火电机组规模保持稳定，新增煤电机组全部用于安全调峰保底供应并按照超低排放标准建设。加强能源加工储运设施节能及余能回收利用，推广余热余压、LNG冷能等余能综合利用技术。注重能源产业和生态治理协同发展，推动采煤沉陷区和关闭煤矿生态环境治理修复，因地制宜推动林光互补、农光互补，开发枯竭气藏、关闭煤矿的二氧化碳地质封存潜力。</w:t>
      </w:r>
    </w:p>
    <w:p>
      <w:pPr>
        <w:adjustRightInd/>
        <w:spacing w:line="240" w:lineRule="auto"/>
        <w:ind w:firstLine="632" w:firstLineChars="200"/>
        <w:textAlignment w:val="auto"/>
        <w:rPr>
          <w:rFonts w:hint="eastAsia"/>
        </w:rPr>
      </w:pPr>
      <w:r>
        <w:rPr>
          <w:rFonts w:hint="eastAsia"/>
        </w:rPr>
        <w:t>推动天然气与太阳能、地热源、水源等可再生能源融合发展。开展氢能利用研究，以先行先试带动推广应用，加快“油气电氢”综合能源站建设，车用综合能源站达到100座。完善LNG加气站点网络化布局，增加LNG加气站加注功能，形成覆盖全市的LNG加气站网络体系。推进船用燃油领域天然气替代，鼓励发展LNG动力船舶，加快推进涪陵、万州、丰都LNG加注码头建设，支持船用LNG移动加注。</w:t>
      </w:r>
    </w:p>
    <w:p>
      <w:pPr>
        <w:adjustRightInd/>
        <w:spacing w:line="240" w:lineRule="auto"/>
        <w:ind w:firstLine="632" w:firstLineChars="200"/>
        <w:textAlignment w:val="auto"/>
        <w:rPr>
          <w:rFonts w:hint="eastAsia"/>
        </w:rPr>
      </w:pPr>
    </w:p>
    <w:p>
      <w:pPr>
        <w:adjustRightInd/>
        <w:spacing w:line="240" w:lineRule="auto"/>
        <w:ind w:firstLine="632" w:firstLineChars="200"/>
        <w:textAlignment w:val="auto"/>
        <w:rPr>
          <w:rFonts w:hint="eastAsia"/>
        </w:rPr>
      </w:pPr>
    </w:p>
    <w:p>
      <w:pPr>
        <w:jc w:val="center"/>
        <w:rPr>
          <w:rFonts w:hint="eastAsia" w:eastAsia="方正黑体_GBK"/>
        </w:rPr>
      </w:pPr>
      <w:r>
        <w:rPr>
          <w:rFonts w:hint="eastAsia" w:eastAsia="方正黑体_GBK"/>
        </w:rPr>
        <w:t>专栏8  能源结构低碳转型项目</w:t>
      </w:r>
    </w:p>
    <w:p>
      <w:pPr>
        <w:pBdr>
          <w:top w:val="single" w:color="auto" w:sz="6" w:space="1"/>
          <w:left w:val="single" w:color="auto" w:sz="6" w:space="4"/>
          <w:bottom w:val="single" w:color="auto" w:sz="6" w:space="1"/>
          <w:right w:val="single" w:color="auto" w:sz="6" w:space="4"/>
        </w:pBdr>
        <w:snapToGrid w:val="0"/>
        <w:spacing w:line="400" w:lineRule="atLeast"/>
        <w:ind w:left="158" w:leftChars="50" w:right="158" w:rightChars="50" w:firstLine="472" w:firstLineChars="200"/>
        <w:rPr>
          <w:rFonts w:hint="eastAsia" w:eastAsia="方正书宋_GBK"/>
          <w:sz w:val="24"/>
          <w:szCs w:val="24"/>
        </w:rPr>
      </w:pPr>
      <w:r>
        <w:rPr>
          <w:rFonts w:hint="eastAsia" w:eastAsia="方正黑体_GBK"/>
          <w:sz w:val="24"/>
          <w:szCs w:val="24"/>
        </w:rPr>
        <w:t>碳中和示范项目：</w:t>
      </w:r>
      <w:r>
        <w:rPr>
          <w:rFonts w:hint="eastAsia" w:eastAsia="方正书宋_GBK"/>
          <w:sz w:val="24"/>
          <w:szCs w:val="24"/>
        </w:rPr>
        <w:t>探索开展合川双槐发电零碳示范项目等试点项目。</w:t>
      </w:r>
    </w:p>
    <w:p>
      <w:pPr>
        <w:pBdr>
          <w:top w:val="single" w:color="auto" w:sz="6" w:space="1"/>
          <w:left w:val="single" w:color="auto" w:sz="6" w:space="4"/>
          <w:bottom w:val="single" w:color="auto" w:sz="6" w:space="1"/>
          <w:right w:val="single" w:color="auto" w:sz="6" w:space="4"/>
        </w:pBdr>
        <w:snapToGrid w:val="0"/>
        <w:spacing w:line="400" w:lineRule="atLeast"/>
        <w:ind w:left="158" w:leftChars="50" w:right="158" w:rightChars="50" w:firstLine="472" w:firstLineChars="200"/>
        <w:rPr>
          <w:rFonts w:hint="eastAsia" w:eastAsia="方正书宋_GBK"/>
          <w:sz w:val="24"/>
          <w:szCs w:val="24"/>
        </w:rPr>
      </w:pPr>
      <w:r>
        <w:rPr>
          <w:rFonts w:hint="eastAsia" w:eastAsia="方正黑体_GBK"/>
          <w:sz w:val="24"/>
          <w:szCs w:val="24"/>
        </w:rPr>
        <w:t>生物质发电：</w:t>
      </w:r>
      <w:r>
        <w:rPr>
          <w:rFonts w:hint="eastAsia" w:eastAsia="方正书宋_GBK"/>
          <w:sz w:val="24"/>
          <w:szCs w:val="24"/>
        </w:rPr>
        <w:t>结</w:t>
      </w:r>
      <w:r>
        <w:rPr>
          <w:rFonts w:hint="eastAsia" w:eastAsia="方正书宋_GBK"/>
          <w:spacing w:val="2"/>
          <w:sz w:val="24"/>
          <w:szCs w:val="24"/>
        </w:rPr>
        <w:t>合《重庆市生活垃圾焚烧发电中长期专项规划（2021—2035年）</w:t>
      </w:r>
      <w:r>
        <w:rPr>
          <w:rFonts w:hint="eastAsia" w:eastAsia="方正书宋_GBK"/>
          <w:sz w:val="24"/>
          <w:szCs w:val="24"/>
        </w:rPr>
        <w:t>》，建成铜梁、秀山、武隆、綦江、合川、垫江、黔江生活垃圾焚烧发电项目，推动璧山、荣昌、潼南、丰都、奉节、梁平、巫山、大足、云阳、涪陵—长寿、万州、酉阳、綦江（二期）等生活垃圾焚烧发电项目实施。在潼南、綦江、江津等地利用废弃物、污泥、沼气等建设生物质发电项目。</w:t>
      </w:r>
    </w:p>
    <w:p>
      <w:pPr>
        <w:pBdr>
          <w:top w:val="single" w:color="auto" w:sz="6" w:space="1"/>
          <w:left w:val="single" w:color="auto" w:sz="6" w:space="4"/>
          <w:bottom w:val="single" w:color="auto" w:sz="6" w:space="1"/>
          <w:right w:val="single" w:color="auto" w:sz="6" w:space="4"/>
        </w:pBdr>
        <w:snapToGrid w:val="0"/>
        <w:spacing w:line="400" w:lineRule="atLeast"/>
        <w:ind w:left="158" w:leftChars="50" w:right="158" w:rightChars="50" w:firstLine="472" w:firstLineChars="200"/>
        <w:rPr>
          <w:rFonts w:hint="eastAsia" w:eastAsia="方正书宋_GBK"/>
          <w:sz w:val="24"/>
          <w:szCs w:val="24"/>
        </w:rPr>
      </w:pPr>
      <w:r>
        <w:rPr>
          <w:rFonts w:hint="eastAsia" w:eastAsia="方正黑体_GBK"/>
          <w:sz w:val="24"/>
          <w:szCs w:val="24"/>
        </w:rPr>
        <w:t>燃煤减量替代</w:t>
      </w:r>
      <w:r>
        <w:rPr>
          <w:rFonts w:hint="eastAsia" w:eastAsia="方正书宋_GBK"/>
          <w:sz w:val="24"/>
          <w:szCs w:val="24"/>
        </w:rPr>
        <w:t>：加强停产关闭矿井管控，淘汰落后燃煤机组，推进“煤改电”“煤改气”工程。</w:t>
      </w:r>
    </w:p>
    <w:p>
      <w:pPr>
        <w:pBdr>
          <w:top w:val="single" w:color="auto" w:sz="6" w:space="1"/>
          <w:left w:val="single" w:color="auto" w:sz="6" w:space="4"/>
          <w:bottom w:val="single" w:color="auto" w:sz="6" w:space="1"/>
          <w:right w:val="single" w:color="auto" w:sz="6" w:space="4"/>
        </w:pBdr>
        <w:snapToGrid w:val="0"/>
        <w:spacing w:line="400" w:lineRule="atLeast"/>
        <w:ind w:left="158" w:leftChars="50" w:right="158" w:rightChars="50" w:firstLine="472" w:firstLineChars="200"/>
        <w:rPr>
          <w:rFonts w:hint="eastAsia" w:eastAsia="方正书宋_GBK"/>
          <w:sz w:val="24"/>
          <w:szCs w:val="24"/>
        </w:rPr>
      </w:pPr>
      <w:r>
        <w:rPr>
          <w:rFonts w:hint="eastAsia" w:eastAsia="方正黑体_GBK"/>
          <w:sz w:val="24"/>
          <w:szCs w:val="24"/>
        </w:rPr>
        <w:t>氢能利用示范</w:t>
      </w:r>
      <w:r>
        <w:rPr>
          <w:rFonts w:hint="eastAsia" w:eastAsia="方正书宋_GBK"/>
          <w:sz w:val="24"/>
          <w:szCs w:val="24"/>
        </w:rPr>
        <w:t>：建设成渝氢走廊，开展氢能在交通领域示范应用，推广应用氢燃料电池汽车，到2025年规模达到1500辆，建设多种类型加氢站30座。</w:t>
      </w:r>
    </w:p>
    <w:p>
      <w:pPr>
        <w:adjustRightInd/>
        <w:spacing w:line="240" w:lineRule="auto"/>
        <w:ind w:firstLine="632" w:firstLineChars="200"/>
        <w:textAlignment w:val="auto"/>
        <w:rPr>
          <w:rFonts w:hint="eastAsia" w:eastAsia="方正楷体_GBK"/>
        </w:rPr>
      </w:pPr>
      <w:r>
        <w:rPr>
          <w:rFonts w:hint="eastAsia" w:eastAsia="方正楷体_GBK"/>
        </w:rPr>
        <w:t>（二）促进重点行业能源消费结构调整。</w:t>
      </w:r>
    </w:p>
    <w:p>
      <w:pPr>
        <w:adjustRightInd/>
        <w:spacing w:line="240" w:lineRule="auto"/>
        <w:ind w:firstLine="632" w:firstLineChars="200"/>
        <w:textAlignment w:val="auto"/>
        <w:rPr>
          <w:rFonts w:hint="eastAsia"/>
        </w:rPr>
      </w:pPr>
      <w:r>
        <w:rPr>
          <w:rFonts w:hint="eastAsia"/>
        </w:rPr>
        <w:t>强化重点领域节能提效。优化产业布局，加强工业、建筑、交通运输、新基建、公共机构等重点领域节能。强化工业能效提升，对标国际先进水平，构建绿色制造体系。围绕企业能源效率</w:t>
      </w:r>
      <w:r>
        <w:rPr>
          <w:rFonts w:hint="eastAsia"/>
          <w:spacing w:val="-4"/>
        </w:rPr>
        <w:t>及能源管理全面开展节能诊断，充分挖掘企业节能技术改造潜力、</w:t>
      </w:r>
      <w:r>
        <w:rPr>
          <w:rFonts w:hint="eastAsia"/>
        </w:rPr>
        <w:t>能源转化效率提升潜力。完善绿色建筑标准及认证体系，推广应用装配式建筑、钢结构建筑和新型建材，推进既有建筑节能和绿色化改造，降低建筑运行能耗。积极构建绿色低碳交通运输网络，</w:t>
      </w:r>
      <w:r>
        <w:rPr>
          <w:rFonts w:hint="eastAsia"/>
          <w:spacing w:val="-4"/>
        </w:rPr>
        <w:t>依托长江黄金水道和国际多式联运枢纽体系，大力发展江海直达、</w:t>
      </w:r>
      <w:r>
        <w:rPr>
          <w:rFonts w:hint="eastAsia"/>
        </w:rPr>
        <w:t>干支直达运输，促进大宗货物运输“公转铁”“公转水”。发展城市公交和绿色运输装备，引导居民绿色低碳出行。推进数据中心、</w:t>
      </w:r>
      <w:r>
        <w:rPr>
          <w:rFonts w:hint="eastAsia"/>
          <w:spacing w:val="-4"/>
        </w:rPr>
        <w:t>5G通信基站等新型基础设施节能，促进现代信息技术与传统基础</w:t>
      </w:r>
      <w:r>
        <w:rPr>
          <w:rFonts w:hint="eastAsia"/>
        </w:rPr>
        <w:t>设施融合，提高运行效率和节能水平。围绕节约型机关建设，强化公共机构节能管理。</w:t>
      </w:r>
    </w:p>
    <w:p>
      <w:pPr>
        <w:adjustRightInd/>
        <w:spacing w:line="240" w:lineRule="auto"/>
        <w:ind w:firstLine="632" w:firstLineChars="200"/>
        <w:textAlignment w:val="auto"/>
        <w:rPr>
          <w:rFonts w:hint="eastAsia"/>
        </w:rPr>
      </w:pPr>
      <w:r>
        <w:rPr>
          <w:rFonts w:hint="eastAsia"/>
        </w:rPr>
        <w:t>实施重点节能工程。以重点行业能效提升为抓手，构建覆盖全产业链和产品全生命周期的绿色制造体系。加强产业园区能源梯级利用，创建一批具有示范带动效应的绿色园区和绿色工厂。开展绿色建筑创建行动，积极培育条件适宜的超低能耗和近零能耗示范项目，鼓励有条件的地区开展绿色建筑集中连片示范工程建设，拓展可再生能源在建筑领域的应用形式，扩大可再生能源建筑应用规模，建设一批引领性、标志性绿色建筑。开展氢燃料电池汽车应用示范工程，完善港口岸电、APU（飞机辅助动力装置）替代、油气回收等基础设施，持续提升道路等级，开展以节能照明、拌合楼油改气等节能环保技术为代表的绿色公路建设，推动绿色普通国省道干线公路样板工程建设。</w:t>
      </w:r>
    </w:p>
    <w:p>
      <w:pPr>
        <w:adjustRightInd/>
        <w:spacing w:line="240" w:lineRule="auto"/>
        <w:ind w:firstLine="632" w:firstLineChars="200"/>
        <w:textAlignment w:val="auto"/>
        <w:rPr>
          <w:rFonts w:hint="eastAsia" w:eastAsia="方正黑体_GBK"/>
        </w:rPr>
      </w:pPr>
      <w:r>
        <w:rPr>
          <w:rFonts w:hint="eastAsia" w:eastAsia="方正黑体_GBK"/>
        </w:rPr>
        <w:t>五、构建创新引领的能源产业体系</w:t>
      </w:r>
    </w:p>
    <w:p>
      <w:pPr>
        <w:adjustRightInd/>
        <w:spacing w:line="240" w:lineRule="auto"/>
        <w:ind w:firstLine="632" w:firstLineChars="200"/>
        <w:textAlignment w:val="auto"/>
        <w:rPr>
          <w:rFonts w:hint="eastAsia"/>
        </w:rPr>
      </w:pPr>
      <w:r>
        <w:rPr>
          <w:rFonts w:hint="eastAsia"/>
        </w:rPr>
        <w:t>深入实施创新驱动发展战略，推动关键能源装备的技术攻关、试验示范和推广应用，培育和提高能源装备自主创新能力，积极构建智慧能源系统，推动能源产业数字化智能化升级。</w:t>
      </w:r>
    </w:p>
    <w:p>
      <w:pPr>
        <w:adjustRightInd/>
        <w:spacing w:line="240" w:lineRule="auto"/>
        <w:ind w:firstLine="632" w:firstLineChars="200"/>
        <w:textAlignment w:val="auto"/>
        <w:rPr>
          <w:rFonts w:hint="eastAsia" w:eastAsia="方正楷体_GBK"/>
        </w:rPr>
      </w:pPr>
      <w:r>
        <w:rPr>
          <w:rFonts w:hint="eastAsia" w:eastAsia="方正楷体_GBK"/>
        </w:rPr>
        <w:t>（一）积极发展能源装备产业。</w:t>
      </w:r>
    </w:p>
    <w:p>
      <w:pPr>
        <w:adjustRightInd/>
        <w:spacing w:line="240" w:lineRule="auto"/>
        <w:ind w:firstLine="632" w:firstLineChars="200"/>
        <w:textAlignment w:val="auto"/>
        <w:rPr>
          <w:rFonts w:hint="eastAsia"/>
        </w:rPr>
      </w:pPr>
      <w:r>
        <w:rPr>
          <w:rFonts w:hint="eastAsia"/>
        </w:rPr>
        <w:t>依靠科技创新，统筹推进能源装备产业原创性突破、国产化替代、应用性转化和规模化量产。做大风电产业集群发展，做长产业链，稳定供应链，提高本地配套率。积极提升变压器、电力电缆和开关柜等现有产品智能化水平，发展特高压输变电成套装备、GIS（气体绝缘金属封闭开关设备）等先进产品。巩固烟气脱硫脱硝、垃圾高效清洁焚烧发电等现有节能装备优势地位，引进二氧化碳捕捉、PM2.5（细颗粒物）脱除等大型成套节能环保设备。积极布局先进油气装备制造项目，加快页岩气井口装置、仪器仪表、钻井辅助设备等配套装备开发，引进勘探、钻井、完井、压裂和站场集输等环节成套装备企业。围绕中国西部（重庆）氢谷、成渝氢走廊建设，稳步提升制氢能力，并探索优化储运方式，适度超前建设加氢基础设施网络。以两江新区、九龙坡区、西部科学城重庆高新区为龙头，积极打造氢燃料电池及核心零部件产业集群，推动氢气制备、储运、终端供应全产业链发展。大力发展动力电池单体及电池系统、正负极材料、驱动电机及控制器、整车控制系统等新能源汽车技术。依托太阳能薄膜项目和航空发动机项目，力争在光伏发电设备、燃气轮机等领域有所突破。</w:t>
      </w:r>
    </w:p>
    <w:p>
      <w:pPr>
        <w:jc w:val="center"/>
        <w:rPr>
          <w:rFonts w:hint="eastAsia" w:eastAsia="方正黑体_GBK"/>
        </w:rPr>
      </w:pPr>
      <w:r>
        <w:rPr>
          <w:rFonts w:hint="eastAsia" w:eastAsia="方正黑体_GBK"/>
        </w:rPr>
        <w:t>专栏9  重大能源装备</w:t>
      </w:r>
    </w:p>
    <w:p>
      <w:pPr>
        <w:pBdr>
          <w:top w:val="single" w:color="auto" w:sz="6" w:space="1"/>
          <w:left w:val="single" w:color="auto" w:sz="6" w:space="4"/>
          <w:bottom w:val="single" w:color="auto" w:sz="6" w:space="1"/>
          <w:right w:val="single" w:color="auto" w:sz="6" w:space="4"/>
        </w:pBdr>
        <w:snapToGrid w:val="0"/>
        <w:spacing w:line="370" w:lineRule="atLeast"/>
        <w:ind w:left="158" w:leftChars="50" w:right="158" w:rightChars="50" w:firstLine="472" w:firstLineChars="200"/>
        <w:rPr>
          <w:rFonts w:hint="eastAsia" w:eastAsia="方正书宋_GBK"/>
          <w:sz w:val="24"/>
          <w:szCs w:val="24"/>
        </w:rPr>
      </w:pPr>
      <w:r>
        <w:rPr>
          <w:rFonts w:hint="eastAsia" w:eastAsia="方正黑体_GBK"/>
          <w:sz w:val="24"/>
          <w:szCs w:val="24"/>
        </w:rPr>
        <w:t>电力：</w:t>
      </w:r>
      <w:r>
        <w:rPr>
          <w:rFonts w:hint="eastAsia" w:eastAsia="方正书宋_GBK"/>
          <w:sz w:val="24"/>
          <w:szCs w:val="24"/>
        </w:rPr>
        <w:t>推动特高压直流变压器、重庆海装海上大兆瓦风电机组，垃圾发电、生物质垃圾沼气发电装备制造；结合抽水蓄能电站建设，推动加快抽水蓄能电站大容量水轮机组产品开发。</w:t>
      </w:r>
    </w:p>
    <w:p>
      <w:pPr>
        <w:pBdr>
          <w:top w:val="single" w:color="auto" w:sz="6" w:space="1"/>
          <w:left w:val="single" w:color="auto" w:sz="6" w:space="4"/>
          <w:bottom w:val="single" w:color="auto" w:sz="6" w:space="1"/>
          <w:right w:val="single" w:color="auto" w:sz="6" w:space="4"/>
        </w:pBdr>
        <w:snapToGrid w:val="0"/>
        <w:spacing w:line="370" w:lineRule="atLeast"/>
        <w:ind w:left="158" w:leftChars="50" w:right="158" w:rightChars="50" w:firstLine="472" w:firstLineChars="200"/>
        <w:rPr>
          <w:rFonts w:hint="eastAsia" w:eastAsia="方正书宋_GBK"/>
          <w:sz w:val="24"/>
          <w:szCs w:val="24"/>
        </w:rPr>
      </w:pPr>
      <w:r>
        <w:rPr>
          <w:rFonts w:hint="eastAsia" w:eastAsia="方正黑体_GBK"/>
          <w:sz w:val="24"/>
          <w:szCs w:val="24"/>
        </w:rPr>
        <w:t>节能：</w:t>
      </w:r>
      <w:r>
        <w:rPr>
          <w:rFonts w:hint="eastAsia" w:eastAsia="方正书宋_GBK"/>
          <w:sz w:val="24"/>
          <w:szCs w:val="24"/>
        </w:rPr>
        <w:t>引进烟气脱硫脱硝、垃圾高效清洁焚烧发电、二氧化碳捕捉、PM2.5脱除等成套节能环保设备。</w:t>
      </w:r>
    </w:p>
    <w:p>
      <w:pPr>
        <w:pBdr>
          <w:top w:val="single" w:color="auto" w:sz="6" w:space="1"/>
          <w:left w:val="single" w:color="auto" w:sz="6" w:space="4"/>
          <w:bottom w:val="single" w:color="auto" w:sz="6" w:space="1"/>
          <w:right w:val="single" w:color="auto" w:sz="6" w:space="4"/>
        </w:pBdr>
        <w:snapToGrid w:val="0"/>
        <w:spacing w:line="370" w:lineRule="atLeast"/>
        <w:ind w:left="158" w:leftChars="50" w:right="158" w:rightChars="50" w:firstLine="472" w:firstLineChars="200"/>
        <w:rPr>
          <w:rFonts w:hint="eastAsia" w:eastAsia="方正书宋_GBK"/>
          <w:sz w:val="24"/>
          <w:szCs w:val="24"/>
        </w:rPr>
      </w:pPr>
      <w:r>
        <w:rPr>
          <w:rFonts w:hint="eastAsia" w:eastAsia="方正黑体_GBK"/>
          <w:sz w:val="24"/>
          <w:szCs w:val="24"/>
        </w:rPr>
        <w:t>油气</w:t>
      </w:r>
      <w:r>
        <w:rPr>
          <w:rFonts w:hint="eastAsia" w:eastAsia="方正书宋_GBK"/>
          <w:sz w:val="24"/>
          <w:szCs w:val="24"/>
        </w:rPr>
        <w:t>：发展超大功率油气压裂装备等成套装备，井口测试、仪器仪表等配套装备，套管、压裂液等配套材料。</w:t>
      </w:r>
    </w:p>
    <w:p>
      <w:pPr>
        <w:pBdr>
          <w:top w:val="single" w:color="auto" w:sz="6" w:space="1"/>
          <w:left w:val="single" w:color="auto" w:sz="6" w:space="4"/>
          <w:bottom w:val="single" w:color="auto" w:sz="6" w:space="1"/>
          <w:right w:val="single" w:color="auto" w:sz="6" w:space="4"/>
        </w:pBdr>
        <w:snapToGrid w:val="0"/>
        <w:spacing w:line="370" w:lineRule="atLeast"/>
        <w:ind w:left="158" w:leftChars="50" w:right="158" w:rightChars="50" w:firstLine="472" w:firstLineChars="200"/>
        <w:rPr>
          <w:rFonts w:hint="eastAsia" w:eastAsia="方正书宋_GBK"/>
          <w:sz w:val="24"/>
          <w:szCs w:val="24"/>
        </w:rPr>
      </w:pPr>
      <w:r>
        <w:rPr>
          <w:rFonts w:hint="eastAsia" w:eastAsia="方正黑体_GBK"/>
          <w:sz w:val="24"/>
          <w:szCs w:val="24"/>
        </w:rPr>
        <w:t>氢能</w:t>
      </w:r>
      <w:r>
        <w:rPr>
          <w:rFonts w:hint="eastAsia" w:eastAsia="方正书宋_GBK"/>
          <w:sz w:val="24"/>
          <w:szCs w:val="24"/>
        </w:rPr>
        <w:t>：培育发展工业副氢提纯利用、氢能储存、氢气压缩机、液氢泵、加氢机及核心阀门等氢能制造、储存、运输装备。</w:t>
      </w:r>
    </w:p>
    <w:p>
      <w:pPr>
        <w:adjustRightInd/>
        <w:spacing w:line="240" w:lineRule="auto"/>
        <w:ind w:firstLine="632" w:firstLineChars="200"/>
        <w:textAlignment w:val="auto"/>
        <w:rPr>
          <w:rFonts w:hint="eastAsia" w:eastAsia="方正楷体_GBK"/>
        </w:rPr>
      </w:pPr>
      <w:r>
        <w:rPr>
          <w:rFonts w:hint="eastAsia" w:eastAsia="方正楷体_GBK"/>
        </w:rPr>
        <w:t>（二）着力发展智慧能源产业。</w:t>
      </w:r>
    </w:p>
    <w:p>
      <w:pPr>
        <w:adjustRightInd/>
        <w:spacing w:line="240" w:lineRule="auto"/>
        <w:ind w:firstLine="632" w:firstLineChars="200"/>
        <w:textAlignment w:val="auto"/>
        <w:rPr>
          <w:rFonts w:hint="eastAsia"/>
        </w:rPr>
      </w:pPr>
      <w:r>
        <w:rPr>
          <w:rFonts w:hint="eastAsia"/>
        </w:rPr>
        <w:t>推动大数据、云计算、5G等信息技术在能源领域应用，构建智慧能源体系。集成信息系统与能源系统，实现对系统运行状态的精准监测和实时管理。依托现代信息通讯及智能化技术，加强全网统一调度，建设“源网荷储”协调发展、集成互补的能源互联网。鼓励风电、太阳能发电等可再生能源的智能化生产，依托新能源、储能、柔性网络和微网等技术，实现分布式能源的高效灵活接入。推动新型电力设施、关键装备技术、信息通信技术研发示范，拓展人工智能在设备运维、电网调度、安全管控等领域应用。支持智慧电厂、新能源集控平台建设，促进多种类型能源网络互联互通、多种能源形态协同转化。实施城市配电网供电可靠性提升行动和配电网网架优化行动，提高各级电网智能化水平。依靠能源技术，在开发区、产业园区、旅游景区积极推广开展“互联网+”智慧能源试点示范。推动多种能源的智能定制，合理引导电力需求，支持虚拟电厂、负荷集成商等新型需求侧管理模式发展，培育智慧用能新模式。</w:t>
      </w:r>
    </w:p>
    <w:p>
      <w:pPr>
        <w:adjustRightInd/>
        <w:spacing w:line="240" w:lineRule="auto"/>
        <w:ind w:firstLine="632" w:firstLineChars="200"/>
        <w:textAlignment w:val="auto"/>
        <w:rPr>
          <w:rFonts w:hint="eastAsia" w:eastAsia="方正楷体_GBK"/>
        </w:rPr>
      </w:pPr>
      <w:r>
        <w:rPr>
          <w:rFonts w:hint="eastAsia" w:eastAsia="方正楷体_GBK"/>
        </w:rPr>
        <w:t>（三）加快推动能源数字化转型。</w:t>
      </w:r>
    </w:p>
    <w:p>
      <w:pPr>
        <w:adjustRightInd/>
        <w:spacing w:line="240" w:lineRule="auto"/>
        <w:ind w:firstLine="632" w:firstLineChars="200"/>
        <w:textAlignment w:val="auto"/>
        <w:rPr>
          <w:rFonts w:hint="eastAsia"/>
        </w:rPr>
      </w:pPr>
      <w:r>
        <w:rPr>
          <w:rFonts w:hint="eastAsia"/>
        </w:rPr>
        <w:t>强化数字经济技术在能源系统中的应用，培育能源数字经济新优势。鼓励用户端智能化用能，实现能源自由交易和灵活补贴结算。整合气源、管网、客户端等供应链数据，推进物联网在燃气网络中的应用。推动能源与交通、金融等行业的跨界融合，实现能源信息整合增值和商业模式创新。推进新型能源基础设施及相关服务平台发展，依托5G技术提供充电桩、光伏、路灯、加油站、园区等领域的能效管理、智能运维、需求响应、多能协同，推动综合能源业务拓展，构建数字能源生态圈。建设好重庆能源大数据中心，搭建覆盖能源供需各环节信息的国家级能源大数据平台，发挥大数据在能源行业宏观调控、产业发展、公共服务等领域的作用。</w:t>
      </w:r>
    </w:p>
    <w:p>
      <w:pPr>
        <w:jc w:val="center"/>
        <w:rPr>
          <w:rFonts w:hint="eastAsia" w:eastAsia="方正黑体_GBK"/>
        </w:rPr>
      </w:pPr>
      <w:r>
        <w:rPr>
          <w:rFonts w:hint="eastAsia" w:eastAsia="方正黑体_GBK"/>
        </w:rPr>
        <w:t>专栏10  智慧能源重点项目</w:t>
      </w:r>
    </w:p>
    <w:p>
      <w:pPr>
        <w:pBdr>
          <w:top w:val="single" w:color="auto" w:sz="6" w:space="1"/>
          <w:left w:val="single" w:color="auto" w:sz="6" w:space="4"/>
          <w:bottom w:val="single" w:color="auto" w:sz="6" w:space="1"/>
          <w:right w:val="single" w:color="auto" w:sz="6" w:space="4"/>
        </w:pBdr>
        <w:snapToGrid w:val="0"/>
        <w:spacing w:line="380" w:lineRule="atLeast"/>
        <w:ind w:left="158" w:leftChars="50" w:right="158" w:rightChars="50" w:firstLine="472" w:firstLineChars="200"/>
        <w:rPr>
          <w:rFonts w:hint="eastAsia" w:eastAsia="方正书宋_GBK"/>
          <w:sz w:val="24"/>
          <w:szCs w:val="24"/>
        </w:rPr>
      </w:pPr>
      <w:r>
        <w:rPr>
          <w:rFonts w:hint="eastAsia" w:eastAsia="方正黑体_GBK"/>
          <w:sz w:val="24"/>
          <w:szCs w:val="24"/>
        </w:rPr>
        <w:t>源：</w:t>
      </w:r>
      <w:r>
        <w:rPr>
          <w:rFonts w:hint="eastAsia" w:eastAsia="方正书宋_GBK"/>
          <w:sz w:val="24"/>
          <w:szCs w:val="24"/>
        </w:rPr>
        <w:t>推进涪陵页岩气等“智慧气田”建设，重庆东站片区智慧供能项目、珞璜“智慧”电厂建设。</w:t>
      </w:r>
    </w:p>
    <w:p>
      <w:pPr>
        <w:pBdr>
          <w:top w:val="single" w:color="auto" w:sz="6" w:space="1"/>
          <w:left w:val="single" w:color="auto" w:sz="6" w:space="4"/>
          <w:bottom w:val="single" w:color="auto" w:sz="6" w:space="1"/>
          <w:right w:val="single" w:color="auto" w:sz="6" w:space="4"/>
        </w:pBdr>
        <w:snapToGrid w:val="0"/>
        <w:spacing w:line="380" w:lineRule="atLeast"/>
        <w:ind w:left="158" w:leftChars="50" w:right="158" w:rightChars="50" w:firstLine="472" w:firstLineChars="200"/>
        <w:rPr>
          <w:rFonts w:hint="eastAsia" w:eastAsia="方正书宋_GBK"/>
          <w:sz w:val="24"/>
          <w:szCs w:val="24"/>
        </w:rPr>
      </w:pPr>
      <w:r>
        <w:rPr>
          <w:rFonts w:hint="eastAsia" w:eastAsia="方正黑体_GBK"/>
          <w:sz w:val="24"/>
          <w:szCs w:val="24"/>
        </w:rPr>
        <w:t>网：</w:t>
      </w:r>
      <w:r>
        <w:rPr>
          <w:rFonts w:hint="eastAsia" w:eastAsia="方正书宋_GBK"/>
          <w:sz w:val="24"/>
          <w:szCs w:val="24"/>
        </w:rPr>
        <w:t>推进川气东送二线等新建管道智能化建设，老旧油气长输管道智能化改造；35千伏以上光纤网架和通信带宽提升。</w:t>
      </w:r>
    </w:p>
    <w:p>
      <w:pPr>
        <w:pBdr>
          <w:top w:val="single" w:color="auto" w:sz="6" w:space="1"/>
          <w:left w:val="single" w:color="auto" w:sz="6" w:space="4"/>
          <w:bottom w:val="single" w:color="auto" w:sz="6" w:space="1"/>
          <w:right w:val="single" w:color="auto" w:sz="6" w:space="4"/>
        </w:pBdr>
        <w:snapToGrid w:val="0"/>
        <w:spacing w:line="380" w:lineRule="atLeast"/>
        <w:ind w:left="158" w:leftChars="50" w:right="158" w:rightChars="50" w:firstLine="472" w:firstLineChars="200"/>
        <w:rPr>
          <w:rFonts w:hint="eastAsia" w:eastAsia="方正书宋_GBK"/>
          <w:sz w:val="24"/>
          <w:szCs w:val="24"/>
        </w:rPr>
      </w:pPr>
      <w:r>
        <w:rPr>
          <w:rFonts w:hint="eastAsia" w:eastAsia="方正黑体_GBK"/>
          <w:sz w:val="24"/>
          <w:szCs w:val="24"/>
        </w:rPr>
        <w:t>储：</w:t>
      </w:r>
      <w:r>
        <w:rPr>
          <w:rFonts w:hint="eastAsia" w:eastAsia="方正书宋_GBK"/>
          <w:sz w:val="24"/>
          <w:szCs w:val="24"/>
        </w:rPr>
        <w:t>建设相国寺储气库智能储气库示范工程，高标准打造铜锣峡、黄草峡储气库智慧管理体系。</w:t>
      </w:r>
    </w:p>
    <w:p>
      <w:pPr>
        <w:pBdr>
          <w:top w:val="single" w:color="auto" w:sz="6" w:space="1"/>
          <w:left w:val="single" w:color="auto" w:sz="6" w:space="4"/>
          <w:bottom w:val="single" w:color="auto" w:sz="6" w:space="1"/>
          <w:right w:val="single" w:color="auto" w:sz="6" w:space="4"/>
        </w:pBdr>
        <w:snapToGrid w:val="0"/>
        <w:spacing w:line="380" w:lineRule="atLeast"/>
        <w:ind w:left="158" w:leftChars="50" w:right="158" w:rightChars="50" w:firstLine="472" w:firstLineChars="200"/>
        <w:rPr>
          <w:rFonts w:hint="eastAsia" w:eastAsia="方正书宋_GBK"/>
          <w:sz w:val="24"/>
          <w:szCs w:val="24"/>
        </w:rPr>
      </w:pPr>
      <w:r>
        <w:rPr>
          <w:rFonts w:hint="eastAsia" w:eastAsia="方正黑体_GBK"/>
          <w:sz w:val="24"/>
          <w:szCs w:val="24"/>
        </w:rPr>
        <w:t>多能互补和智慧能源：</w:t>
      </w:r>
      <w:r>
        <w:rPr>
          <w:rFonts w:hint="eastAsia" w:eastAsia="方正书宋_GBK"/>
          <w:sz w:val="24"/>
          <w:szCs w:val="24"/>
        </w:rPr>
        <w:t>建设西部科学城重庆高新区智慧能源项目、广阳岛清洁能源综合利用项目等智慧能源项目。</w:t>
      </w:r>
    </w:p>
    <w:p>
      <w:pPr>
        <w:pBdr>
          <w:top w:val="single" w:color="auto" w:sz="6" w:space="1"/>
          <w:left w:val="single" w:color="auto" w:sz="6" w:space="4"/>
          <w:bottom w:val="single" w:color="auto" w:sz="6" w:space="1"/>
          <w:right w:val="single" w:color="auto" w:sz="6" w:space="4"/>
        </w:pBdr>
        <w:snapToGrid w:val="0"/>
        <w:spacing w:line="380" w:lineRule="atLeast"/>
        <w:ind w:left="158" w:leftChars="50" w:right="158" w:rightChars="50" w:firstLine="472" w:firstLineChars="200"/>
        <w:rPr>
          <w:rFonts w:hint="eastAsia" w:eastAsia="方正书宋_GBK"/>
          <w:sz w:val="24"/>
          <w:szCs w:val="24"/>
        </w:rPr>
      </w:pPr>
      <w:r>
        <w:rPr>
          <w:rFonts w:hint="eastAsia" w:eastAsia="方正黑体_GBK"/>
          <w:sz w:val="24"/>
          <w:szCs w:val="24"/>
        </w:rPr>
        <w:t>大数据：</w:t>
      </w:r>
      <w:r>
        <w:rPr>
          <w:rFonts w:hint="eastAsia" w:eastAsia="方正书宋_GBK"/>
          <w:sz w:val="24"/>
          <w:szCs w:val="24"/>
        </w:rPr>
        <w:t>建设重庆能源大数据中心。</w:t>
      </w:r>
    </w:p>
    <w:p>
      <w:pPr>
        <w:adjustRightInd/>
        <w:spacing w:line="240" w:lineRule="auto"/>
        <w:ind w:firstLine="632" w:firstLineChars="200"/>
        <w:textAlignment w:val="auto"/>
        <w:rPr>
          <w:rFonts w:hint="eastAsia" w:eastAsia="方正楷体_GBK"/>
        </w:rPr>
      </w:pPr>
      <w:r>
        <w:rPr>
          <w:rFonts w:hint="eastAsia" w:eastAsia="方正楷体_GBK"/>
        </w:rPr>
        <w:t>（四）培育发展能源科技创新平台。</w:t>
      </w:r>
    </w:p>
    <w:p>
      <w:pPr>
        <w:adjustRightInd/>
        <w:spacing w:line="240" w:lineRule="auto"/>
        <w:ind w:firstLine="632" w:firstLineChars="200"/>
        <w:textAlignment w:val="auto"/>
        <w:rPr>
          <w:rFonts w:hint="eastAsia"/>
        </w:rPr>
      </w:pPr>
      <w:r>
        <w:rPr>
          <w:rFonts w:hint="eastAsia"/>
        </w:rPr>
        <w:t>加强能源科研能力建设，建立健全产学研用协同创新机制。聚焦页岩气、可再生能源、智慧能源、氢能等前沿领域技术研发，大力引进国内外知名能源研究机构落地重庆，支持企业、高校、科研院所联合组建院士工作站、重点实验室、科技研发中心、产业技术创新战略联盟等一体研发平台。加大油气、电力、氢能等重大技术攻关，攻关海相深层、常压页岩气和陆相页岩油气富集评价技术，开展二氧化碳捕集、封存与利用技术研究，力争形成一批国家和省部级能源科技进步成果。加快科技成果转移转化，推进能源领域首台（套）重大技术装备示范应用。</w:t>
      </w:r>
    </w:p>
    <w:p>
      <w:pPr>
        <w:adjustRightInd/>
        <w:spacing w:line="240" w:lineRule="auto"/>
        <w:ind w:firstLine="632" w:firstLineChars="200"/>
        <w:textAlignment w:val="auto"/>
        <w:rPr>
          <w:rFonts w:hint="eastAsia"/>
        </w:rPr>
      </w:pPr>
    </w:p>
    <w:p>
      <w:pPr>
        <w:adjustRightInd/>
        <w:spacing w:line="240" w:lineRule="auto"/>
        <w:ind w:firstLine="632" w:firstLineChars="200"/>
        <w:textAlignment w:val="auto"/>
        <w:rPr>
          <w:rFonts w:hint="eastAsia"/>
        </w:rPr>
      </w:pPr>
    </w:p>
    <w:p>
      <w:pPr>
        <w:adjustRightInd/>
        <w:spacing w:line="240" w:lineRule="auto"/>
        <w:ind w:firstLine="632" w:firstLineChars="200"/>
        <w:textAlignment w:val="auto"/>
        <w:rPr>
          <w:rFonts w:hint="eastAsia"/>
        </w:rPr>
      </w:pPr>
    </w:p>
    <w:p>
      <w:pPr>
        <w:jc w:val="center"/>
        <w:rPr>
          <w:rFonts w:hint="eastAsia" w:eastAsia="方正黑体_GBK"/>
        </w:rPr>
      </w:pPr>
      <w:r>
        <w:rPr>
          <w:rFonts w:hint="eastAsia" w:eastAsia="方正黑体_GBK"/>
        </w:rPr>
        <w:t>专栏11  重大科技及重点研究平台</w:t>
      </w:r>
    </w:p>
    <w:p>
      <w:pPr>
        <w:pBdr>
          <w:top w:val="single" w:color="auto" w:sz="6" w:space="1"/>
          <w:left w:val="single" w:color="auto" w:sz="6" w:space="4"/>
          <w:bottom w:val="single" w:color="auto" w:sz="6" w:space="1"/>
          <w:right w:val="single" w:color="auto" w:sz="6" w:space="4"/>
        </w:pBdr>
        <w:snapToGrid w:val="0"/>
        <w:spacing w:line="380" w:lineRule="atLeast"/>
        <w:ind w:left="158" w:leftChars="50" w:right="158" w:rightChars="50" w:firstLine="472" w:firstLineChars="200"/>
        <w:rPr>
          <w:rFonts w:hint="eastAsia" w:eastAsia="方正书宋_GBK"/>
          <w:sz w:val="24"/>
          <w:szCs w:val="24"/>
        </w:rPr>
      </w:pPr>
      <w:r>
        <w:rPr>
          <w:rFonts w:hint="eastAsia" w:eastAsia="方正黑体_GBK"/>
          <w:sz w:val="24"/>
          <w:szCs w:val="24"/>
        </w:rPr>
        <w:t>重点实验室：</w:t>
      </w:r>
      <w:r>
        <w:rPr>
          <w:rFonts w:hint="eastAsia" w:eastAsia="方正书宋_GBK"/>
          <w:sz w:val="24"/>
          <w:szCs w:val="24"/>
        </w:rPr>
        <w:t>做强输配电装备及系统安全与新技术、煤矿灾害动力学与控制等国家重点实验室，争创非常规油气等国家重点实验室。培育壮大输变电安全科学与电工新技术、复杂油气田勘探开发、绿色航空能源动力等市级重点实验室。</w:t>
      </w:r>
    </w:p>
    <w:p>
      <w:pPr>
        <w:pBdr>
          <w:top w:val="single" w:color="auto" w:sz="6" w:space="1"/>
          <w:left w:val="single" w:color="auto" w:sz="6" w:space="4"/>
          <w:bottom w:val="single" w:color="auto" w:sz="6" w:space="1"/>
          <w:right w:val="single" w:color="auto" w:sz="6" w:space="4"/>
        </w:pBdr>
        <w:snapToGrid w:val="0"/>
        <w:spacing w:line="380" w:lineRule="atLeast"/>
        <w:ind w:left="158" w:leftChars="50" w:right="158" w:rightChars="50" w:firstLine="472" w:firstLineChars="200"/>
        <w:rPr>
          <w:rFonts w:hint="eastAsia" w:eastAsia="方正书宋_GBK"/>
          <w:sz w:val="24"/>
          <w:szCs w:val="24"/>
        </w:rPr>
      </w:pPr>
      <w:r>
        <w:rPr>
          <w:rFonts w:hint="eastAsia" w:eastAsia="方正黑体_GBK"/>
          <w:sz w:val="24"/>
          <w:szCs w:val="24"/>
        </w:rPr>
        <w:t>重点研究机构：</w:t>
      </w:r>
      <w:r>
        <w:rPr>
          <w:rFonts w:hint="eastAsia" w:eastAsia="方正书宋_GBK"/>
          <w:sz w:val="24"/>
          <w:szCs w:val="24"/>
        </w:rPr>
        <w:t>争创国家页岩气技术创新中心，引进和加快页岩气勘探开发、海上风力发电、氢能动力等研究机构建设。</w:t>
      </w:r>
    </w:p>
    <w:p>
      <w:pPr>
        <w:pBdr>
          <w:top w:val="single" w:color="auto" w:sz="6" w:space="1"/>
          <w:left w:val="single" w:color="auto" w:sz="6" w:space="4"/>
          <w:bottom w:val="single" w:color="auto" w:sz="6" w:space="1"/>
          <w:right w:val="single" w:color="auto" w:sz="6" w:space="4"/>
        </w:pBdr>
        <w:snapToGrid w:val="0"/>
        <w:spacing w:line="380" w:lineRule="atLeast"/>
        <w:ind w:left="158" w:leftChars="50" w:right="158" w:rightChars="50" w:firstLine="472" w:firstLineChars="200"/>
        <w:rPr>
          <w:rFonts w:hint="eastAsia" w:eastAsia="方正书宋_GBK"/>
          <w:sz w:val="24"/>
          <w:szCs w:val="24"/>
        </w:rPr>
      </w:pPr>
      <w:r>
        <w:rPr>
          <w:rFonts w:hint="eastAsia" w:eastAsia="方正黑体_GBK"/>
          <w:sz w:val="24"/>
          <w:szCs w:val="24"/>
        </w:rPr>
        <w:t>重大技术攻关：</w:t>
      </w:r>
      <w:r>
        <w:rPr>
          <w:rFonts w:hint="eastAsia" w:eastAsia="方正书宋_GBK"/>
          <w:sz w:val="24"/>
          <w:szCs w:val="24"/>
        </w:rPr>
        <w:t>力争突破侏罗系陆相页岩油气开发，页岩气立体开发技术，深层、长水平段优快钻井技术，储气库跨层系扩容建设技术；开展海上大兆瓦风电机组装备研发；开展二氧化碳捕集、封存与利用技术攻关；开展氢燃料电池动力系统、电堆、关键材料和关键零部件攻关。</w:t>
      </w:r>
    </w:p>
    <w:p>
      <w:pPr>
        <w:adjustRightInd/>
        <w:spacing w:line="240" w:lineRule="auto"/>
        <w:ind w:firstLine="632" w:firstLineChars="200"/>
        <w:textAlignment w:val="auto"/>
        <w:rPr>
          <w:rFonts w:hint="eastAsia" w:eastAsia="方正黑体_GBK"/>
        </w:rPr>
      </w:pPr>
      <w:r>
        <w:rPr>
          <w:rFonts w:hint="eastAsia" w:eastAsia="方正黑体_GBK"/>
        </w:rPr>
        <w:t>六、推动重点领域能源体制改革</w:t>
      </w:r>
    </w:p>
    <w:p>
      <w:pPr>
        <w:adjustRightInd/>
        <w:spacing w:line="240" w:lineRule="auto"/>
        <w:ind w:firstLine="632" w:firstLineChars="200"/>
        <w:textAlignment w:val="auto"/>
        <w:rPr>
          <w:rFonts w:hint="eastAsia"/>
        </w:rPr>
      </w:pPr>
      <w:r>
        <w:rPr>
          <w:rFonts w:hint="eastAsia"/>
        </w:rPr>
        <w:t>深化重点领域和关键环节市场化改革，破除妨碍发展的体制机制障碍，提高能源配置效率和公平性，为推进能源高质量发展提供制度保障。</w:t>
      </w:r>
    </w:p>
    <w:p>
      <w:pPr>
        <w:adjustRightInd/>
        <w:spacing w:line="240" w:lineRule="auto"/>
        <w:ind w:firstLine="632" w:firstLineChars="200"/>
        <w:textAlignment w:val="auto"/>
        <w:rPr>
          <w:rFonts w:hint="eastAsia" w:eastAsia="方正楷体_GBK"/>
        </w:rPr>
      </w:pPr>
      <w:r>
        <w:rPr>
          <w:rFonts w:hint="eastAsia" w:eastAsia="方正楷体_GBK"/>
        </w:rPr>
        <w:t>（一）推动电力体制改革。</w:t>
      </w:r>
    </w:p>
    <w:p>
      <w:pPr>
        <w:adjustRightInd/>
        <w:spacing w:line="240" w:lineRule="auto"/>
        <w:ind w:firstLine="632" w:firstLineChars="200"/>
        <w:textAlignment w:val="auto"/>
        <w:rPr>
          <w:rFonts w:hint="eastAsia"/>
        </w:rPr>
      </w:pPr>
      <w:r>
        <w:rPr>
          <w:rFonts w:hint="eastAsia"/>
        </w:rPr>
        <w:t>深化配售电改革，完善售电主体准入和退出机制，向社会资本放开售电和增量配电业务，有序推进增量配电业务试点项目，加快存量试点项目供区划分。建立市场化电力电量平衡机制，放开发用电计划。推进电力辅助服务市场化，推动储能、调峰作为独立主体参与电力辅助服务市场。建立可再生能源电力消纳保障制度，健全分布式电源发电新机制，推动电网公平接入。推进新能源“隔墙售电”就近交易，积极探索分布式发电市场化交易，逐步规范交易流程，扩大交易规模。健全调峰补偿机制，探索容量电价，合理疏导应急备用及调峰电源建设成本。</w:t>
      </w:r>
    </w:p>
    <w:p>
      <w:pPr>
        <w:adjustRightInd/>
        <w:spacing w:line="240" w:lineRule="auto"/>
        <w:ind w:firstLine="632" w:firstLineChars="200"/>
        <w:textAlignment w:val="auto"/>
        <w:rPr>
          <w:rFonts w:hint="eastAsia" w:eastAsia="方正楷体_GBK"/>
        </w:rPr>
      </w:pPr>
      <w:r>
        <w:rPr>
          <w:rFonts w:hint="eastAsia" w:eastAsia="方正楷体_GBK"/>
        </w:rPr>
        <w:t>（二）推动油气体制改革。</w:t>
      </w:r>
    </w:p>
    <w:p>
      <w:pPr>
        <w:adjustRightInd/>
        <w:spacing w:line="240" w:lineRule="auto"/>
        <w:ind w:firstLine="632" w:firstLineChars="200"/>
        <w:textAlignment w:val="auto"/>
        <w:rPr>
          <w:rFonts w:hint="eastAsia"/>
        </w:rPr>
      </w:pPr>
      <w:r>
        <w:rPr>
          <w:rFonts w:hint="eastAsia"/>
        </w:rPr>
        <w:t>鼓励引导各类资本进入上游勘探开发市场，支持页岩气矿权流转，全面实施区块竞争性出让，激发页岩气勘查开采的市场活力。完善天然气（页岩气）利益共享机制，推动与央企合资合作。规范天然气管网建设和运营，整治和清理违法项目和“背靠背”不</w:t>
      </w:r>
      <w:r>
        <w:rPr>
          <w:rFonts w:hint="eastAsia"/>
          <w:spacing w:val="-4"/>
        </w:rPr>
        <w:t>合理加价行为。全面落实油气管道等基础设施向第三方公平开放，</w:t>
      </w:r>
      <w:r>
        <w:rPr>
          <w:rFonts w:hint="eastAsia"/>
        </w:rPr>
        <w:t>研究天然气管网设施托运商制度，探索建立管网运行统一调度机制，推动“多气源”供气。推动储气设施独立运行，建立储气库气量和储气服务市场化交易机制。</w:t>
      </w:r>
    </w:p>
    <w:p>
      <w:pPr>
        <w:adjustRightInd/>
        <w:spacing w:line="240" w:lineRule="auto"/>
        <w:ind w:firstLine="632" w:firstLineChars="200"/>
        <w:textAlignment w:val="auto"/>
        <w:rPr>
          <w:rFonts w:hint="eastAsia" w:eastAsia="方正楷体_GBK"/>
        </w:rPr>
      </w:pPr>
      <w:r>
        <w:rPr>
          <w:rFonts w:hint="eastAsia" w:eastAsia="方正楷体_GBK"/>
        </w:rPr>
        <w:t>（三）深化能源价格改革。</w:t>
      </w:r>
    </w:p>
    <w:p>
      <w:pPr>
        <w:adjustRightInd/>
        <w:spacing w:line="240" w:lineRule="auto"/>
        <w:ind w:firstLine="632" w:firstLineChars="200"/>
        <w:textAlignment w:val="auto"/>
        <w:rPr>
          <w:rFonts w:hint="eastAsia"/>
        </w:rPr>
      </w:pPr>
      <w:r>
        <w:rPr>
          <w:rFonts w:hint="eastAsia"/>
        </w:rPr>
        <w:t>按照“管住中间、放开两头”改革总体思路，推进电力、天然气等能源价格改革。稳妥推进电力、天然气价格交叉补贴改革。深化输配电价改革，有序放开竞争性环节电价，加强对市场价格的事中事后监管，规范价格行为。优化峰谷电价政策，引导电力</w:t>
      </w:r>
      <w:r>
        <w:rPr>
          <w:rFonts w:hint="eastAsia"/>
          <w:spacing w:val="-4"/>
        </w:rPr>
        <w:t>需求侧管理，争取到2025年需求侧响应能力达到最大用电负荷的</w:t>
      </w:r>
      <w:r>
        <w:rPr>
          <w:rFonts w:hint="eastAsia"/>
        </w:rPr>
        <w:t>3%以上。按照“准许成本加合理收益”原则，合理制定天然气管网输配价格。完成天然气管网输配价格管理和成本监审，合理制定天然气管道运输价格。建立健全天然气上下游价格传导机制，推进非居民用气价格市场化。</w:t>
      </w:r>
    </w:p>
    <w:p>
      <w:pPr>
        <w:adjustRightInd/>
        <w:spacing w:line="240" w:lineRule="auto"/>
        <w:ind w:firstLine="632" w:firstLineChars="200"/>
        <w:textAlignment w:val="auto"/>
        <w:rPr>
          <w:rFonts w:hint="eastAsia" w:eastAsia="方正楷体_GBK"/>
        </w:rPr>
      </w:pPr>
      <w:r>
        <w:rPr>
          <w:rFonts w:hint="eastAsia" w:eastAsia="方正楷体_GBK"/>
        </w:rPr>
        <w:t>（四）推动能源要素市场建设。</w:t>
      </w:r>
    </w:p>
    <w:p>
      <w:pPr>
        <w:adjustRightInd/>
        <w:spacing w:line="240" w:lineRule="auto"/>
        <w:ind w:firstLine="632" w:firstLineChars="200"/>
        <w:textAlignment w:val="auto"/>
        <w:rPr>
          <w:rFonts w:hint="eastAsia"/>
        </w:rPr>
      </w:pPr>
      <w:r>
        <w:rPr>
          <w:rFonts w:hint="eastAsia"/>
        </w:rPr>
        <w:t>扩大天然气市场交易规模。充分发挥重庆石油天然气交易中心作用，推动逐步形成反映全国市场供需、具有国际影响力的天然气价格基准。支持开展天然气、成品油及其他化工品等产品交易，完善交易功能，创新交易模式，扩大交易规模。开展本地页岩气、储气服务、调峰气上线交易，率先在全国建立储气库价格基准。</w:t>
      </w:r>
    </w:p>
    <w:p>
      <w:pPr>
        <w:adjustRightInd/>
        <w:spacing w:line="240" w:lineRule="auto"/>
        <w:ind w:firstLine="632" w:firstLineChars="200"/>
        <w:textAlignment w:val="auto"/>
        <w:rPr>
          <w:rFonts w:hint="eastAsia"/>
        </w:rPr>
      </w:pPr>
      <w:r>
        <w:rPr>
          <w:rFonts w:hint="eastAsia"/>
        </w:rPr>
        <w:t>推进电力交易市场发展。有序推进电力交易中心独立规范运行，扎实做好股权优化调整。扩大参与电力市场用户范围，推进各类市场主体公平参与市场交易。推进电力现货市场建设研究，统筹协调电力辅助服务市场与现货市场。深化电力中长期交易机制，修订交易规则，增加市场主体，丰富交易品种，优化交易流程，提高交易频次。</w:t>
      </w:r>
    </w:p>
    <w:p>
      <w:pPr>
        <w:adjustRightInd/>
        <w:spacing w:line="240" w:lineRule="auto"/>
        <w:ind w:firstLine="632" w:firstLineChars="200"/>
        <w:textAlignment w:val="auto"/>
        <w:rPr>
          <w:rFonts w:hint="eastAsia" w:eastAsia="方正楷体_GBK"/>
        </w:rPr>
      </w:pPr>
      <w:r>
        <w:rPr>
          <w:rFonts w:hint="eastAsia" w:eastAsia="方正楷体_GBK"/>
        </w:rPr>
        <w:t>（五）提升能源综合治理能力。</w:t>
      </w:r>
    </w:p>
    <w:p>
      <w:pPr>
        <w:adjustRightInd/>
        <w:spacing w:line="240" w:lineRule="auto"/>
        <w:ind w:firstLine="632" w:firstLineChars="200"/>
        <w:textAlignment w:val="auto"/>
        <w:rPr>
          <w:rFonts w:hint="eastAsia"/>
        </w:rPr>
      </w:pPr>
      <w:r>
        <w:rPr>
          <w:rFonts w:hint="eastAsia"/>
        </w:rPr>
        <w:t>加强能源行业监管和服务，深化“放管服”改革，实行“阳光审批”，强化规划和政策引导。优化能源营商环境，对标国际先进水平，进一步缩短企业获得电力时间，稳定用能供给，降低用能成本。加强能源行业监管，有效开展能源开发建设、市场交易、价格成本、油气管网设施公平开放及能源消费等环节的监管工作。完善以事中事后监管为重点、以信用为基础的新型监管机制，推行“双随机、一公开”监管模式，确保能源规划、政策、项目有效落地。进一步理顺能源监管职责，完善协调机制，建立健全权责清晰的现代能源监管体系。</w:t>
      </w:r>
    </w:p>
    <w:p>
      <w:pPr>
        <w:adjustRightInd/>
        <w:spacing w:line="240" w:lineRule="auto"/>
        <w:ind w:firstLine="632" w:firstLineChars="200"/>
        <w:textAlignment w:val="auto"/>
        <w:rPr>
          <w:rFonts w:hint="eastAsia" w:eastAsia="方正黑体_GBK"/>
        </w:rPr>
      </w:pPr>
      <w:r>
        <w:rPr>
          <w:rFonts w:hint="eastAsia" w:eastAsia="方正黑体_GBK"/>
        </w:rPr>
        <w:t>七、构建互利共赢的能源合作体系</w:t>
      </w:r>
    </w:p>
    <w:p>
      <w:pPr>
        <w:adjustRightInd/>
        <w:spacing w:line="240" w:lineRule="auto"/>
        <w:ind w:firstLine="632" w:firstLineChars="200"/>
        <w:textAlignment w:val="auto"/>
        <w:rPr>
          <w:rFonts w:hint="eastAsia"/>
        </w:rPr>
      </w:pPr>
      <w:r>
        <w:rPr>
          <w:rFonts w:hint="eastAsia"/>
        </w:rPr>
        <w:t>积极落实国家区域发展战略，主动融入国内国际双循环，加强能源资源对接，建立长期稳固、开放共赢的合作关系，努力实现开放条件下的能源安全。</w:t>
      </w:r>
    </w:p>
    <w:p>
      <w:pPr>
        <w:adjustRightInd/>
        <w:spacing w:line="240" w:lineRule="auto"/>
        <w:ind w:firstLine="632" w:firstLineChars="200"/>
        <w:textAlignment w:val="auto"/>
        <w:rPr>
          <w:rFonts w:hint="eastAsia" w:eastAsia="方正楷体_GBK"/>
        </w:rPr>
      </w:pPr>
      <w:r>
        <w:rPr>
          <w:rFonts w:hint="eastAsia" w:eastAsia="方正楷体_GBK"/>
        </w:rPr>
        <w:t>（一）强化成渝地区双城经济圈能源合作。</w:t>
      </w:r>
    </w:p>
    <w:p>
      <w:pPr>
        <w:adjustRightInd/>
        <w:spacing w:line="240" w:lineRule="auto"/>
        <w:ind w:firstLine="632" w:firstLineChars="200"/>
        <w:textAlignment w:val="auto"/>
        <w:rPr>
          <w:rFonts w:hint="eastAsia"/>
        </w:rPr>
      </w:pPr>
      <w:r>
        <w:rPr>
          <w:rFonts w:hint="eastAsia"/>
        </w:rPr>
        <w:t>加强电力协同保障。共同争取白鹤滩等大型水电站更多电量留存川渝电网消纳。发挥川渝两地电力供需、电源结构互补特性，指导两省市电力市场主体加强中长期电力合作，推进川渝电网一体化建设。围绕川东北渝东北地区一体化发展、成渝中部地区协同发展、川南渝西地区融合发展建设要求，科学推进220千伏及以下电网布局和联网工程。探索建立川渝两地电力交易机构工作融合机制，共同培育发展电力现货市场、川渝一体化电力辅助服务市场，推进电力市场化交易。</w:t>
      </w:r>
    </w:p>
    <w:p>
      <w:pPr>
        <w:adjustRightInd/>
        <w:spacing w:line="240" w:lineRule="auto"/>
        <w:ind w:firstLine="632" w:firstLineChars="200"/>
        <w:textAlignment w:val="auto"/>
        <w:rPr>
          <w:rFonts w:hint="eastAsia"/>
        </w:rPr>
      </w:pPr>
      <w:r>
        <w:rPr>
          <w:rFonts w:hint="eastAsia"/>
        </w:rPr>
        <w:t>推进川渝天然气中心市场建设。发挥川渝地区天然气资源丰富、消费活跃、管网调度灵活、市场联通范围广、价格传导性强的优势，以重庆石油天然气交易中心为平台，建设全国性天然气中心市场。加快实施四川盆地“气大庆”工程，推进川渝地区天然气资源勘探开发，推动油气管网互联互通，推进储气调峰设施建设，形成以跨省市管网为骨干、储气库基地为中枢、区域支线为辐射的蛛网式管网格局。</w:t>
      </w:r>
    </w:p>
    <w:p>
      <w:pPr>
        <w:adjustRightInd/>
        <w:spacing w:line="240" w:lineRule="auto"/>
        <w:ind w:firstLine="632" w:firstLineChars="200"/>
        <w:textAlignment w:val="auto"/>
        <w:rPr>
          <w:rFonts w:hint="eastAsia"/>
        </w:rPr>
      </w:pPr>
      <w:r>
        <w:rPr>
          <w:rFonts w:hint="eastAsia"/>
        </w:rPr>
        <w:t>加强煤炭跨区域合作。推动陕晋蒙、新甘宁东西两线铁路通道运力完善工程，增强北煤入川渝运输能力。推动在川渝地区主要煤炭消费区域以及运输通道关键节点建立煤炭储备基地。建立川渝区域煤炭产供储销信息共享机制、区域外煤炭调入和运输沟通协调机制。</w:t>
      </w:r>
    </w:p>
    <w:p>
      <w:pPr>
        <w:adjustRightInd/>
        <w:spacing w:line="240" w:lineRule="auto"/>
        <w:ind w:firstLine="632" w:firstLineChars="200"/>
        <w:textAlignment w:val="auto"/>
        <w:rPr>
          <w:rFonts w:hint="eastAsia"/>
        </w:rPr>
      </w:pPr>
      <w:r>
        <w:rPr>
          <w:rFonts w:hint="eastAsia"/>
        </w:rPr>
        <w:t>实现成品油应急储备共享互保。建立川渝区域成品油市场监控信息共享机制，增强市场监控和应急处置能力。以四川石化和两省市成品油储备为基础，建立成品油应急储备共享互保机制，稳定市场供应。</w:t>
      </w:r>
    </w:p>
    <w:p>
      <w:pPr>
        <w:adjustRightInd/>
        <w:spacing w:line="240" w:lineRule="auto"/>
        <w:ind w:firstLine="632" w:firstLineChars="200"/>
        <w:textAlignment w:val="auto"/>
        <w:rPr>
          <w:rFonts w:hint="eastAsia"/>
        </w:rPr>
      </w:pPr>
      <w:r>
        <w:rPr>
          <w:rFonts w:hint="eastAsia"/>
        </w:rPr>
        <w:t>加快推动成渝氢走廊建设。争取燃料电池汽车示范城市群政策落地成渝地区，联动带动中西部燃料电池汽车技术和产业创新发展，推动未来社会清洁能源和动力转型。促进以重庆主城都市区和成都都市圈为龙头的产业先行城市的氢能产业发展，助力成渝之间走廊城市的氢能产业布局。支持在渝蓉、成渝、渝万等高速公路沿线布局建设加氢站，加快打造氢燃料电池物流车城际示范线。</w:t>
      </w:r>
    </w:p>
    <w:p>
      <w:pPr>
        <w:adjustRightInd/>
        <w:spacing w:line="240" w:lineRule="auto"/>
        <w:ind w:firstLine="632" w:firstLineChars="200"/>
        <w:textAlignment w:val="auto"/>
        <w:rPr>
          <w:rFonts w:hint="eastAsia" w:eastAsia="方正楷体_GBK"/>
        </w:rPr>
      </w:pPr>
      <w:r>
        <w:rPr>
          <w:rFonts w:hint="eastAsia" w:eastAsia="方正楷体_GBK"/>
        </w:rPr>
        <w:t>（二）努力扩大能源合作范围。</w:t>
      </w:r>
    </w:p>
    <w:p>
      <w:pPr>
        <w:adjustRightInd/>
        <w:spacing w:line="240" w:lineRule="auto"/>
        <w:ind w:firstLine="632" w:firstLineChars="200"/>
        <w:textAlignment w:val="auto"/>
        <w:rPr>
          <w:rFonts w:hint="eastAsia"/>
        </w:rPr>
      </w:pPr>
      <w:r>
        <w:rPr>
          <w:rFonts w:hint="eastAsia"/>
        </w:rPr>
        <w:t>拓展区域能源合作。深化疆渝电力合作，共同推进配套电源开发。强化黔渝两地能源合作，争取习水二郎电厂长期纳入贵州省网内机组电煤保障统调范围，支持重庆企业参与贵州毕水兴煤层气产业化基地建设，协同推进綦江、习水、正安、岑巩页岩气的智能化勘探、开采和利用，推进渝黔电力市场化交易。加强藏渝电力合作，启动配套电源、输电通道、送电曲线等相关前期论证工作，适时争取纳入国家规划，扩大藏电入渝规模。进一步加大与甘肃、宁夏、青海、内蒙古、山西等能源资源大省（区）合作力度，加快开展“外电入渝”第二通道研究，为中长期电力、煤炭需求提供长效支撑。推动与周边省市和毗邻地区的能源产业协作共兴，围绕能源供需、能源装备、新能源等开展深度合作，推进产业集群化、融合化、智能化发展，促进产业链上下游分工协作。</w:t>
      </w:r>
    </w:p>
    <w:p>
      <w:pPr>
        <w:adjustRightInd/>
        <w:spacing w:line="240" w:lineRule="auto"/>
        <w:ind w:firstLine="632" w:firstLineChars="200"/>
        <w:textAlignment w:val="auto"/>
        <w:rPr>
          <w:rFonts w:hint="eastAsia"/>
        </w:rPr>
      </w:pPr>
      <w:r>
        <w:rPr>
          <w:rFonts w:hint="eastAsia"/>
        </w:rPr>
        <w:t>加强与大型能源企业合作。深化央地共建能源项目模式，进一步优化能源生产、利用、销售、税收合理分配机制，争取更多的国家能源战略项目落户重庆。加强与产煤省（区）大型煤炭企业集团战略合作，进一步落实煤源。加大资金、人才等支持力度，推动能源研究机构、智库建设，开展国际国内交流合作。鼓励开展能源领域的信息交流和培训活动，吸引国内外具有优势的能源企业、能源融资公司、能源服务机构向重庆集聚。</w:t>
      </w:r>
    </w:p>
    <w:p>
      <w:pPr>
        <w:adjustRightInd/>
        <w:spacing w:line="240" w:lineRule="auto"/>
        <w:ind w:firstLine="632" w:firstLineChars="200"/>
        <w:textAlignment w:val="auto"/>
        <w:rPr>
          <w:rFonts w:hint="eastAsia" w:eastAsia="方正黑体_GBK"/>
        </w:rPr>
      </w:pPr>
      <w:r>
        <w:rPr>
          <w:rFonts w:hint="eastAsia" w:eastAsia="方正黑体_GBK"/>
        </w:rPr>
        <w:t>八、保障措施</w:t>
      </w:r>
    </w:p>
    <w:p>
      <w:pPr>
        <w:adjustRightInd/>
        <w:spacing w:line="240" w:lineRule="auto"/>
        <w:ind w:firstLine="632" w:firstLineChars="200"/>
        <w:textAlignment w:val="auto"/>
        <w:rPr>
          <w:rFonts w:hint="eastAsia" w:eastAsia="方正楷体_GBK"/>
        </w:rPr>
      </w:pPr>
      <w:r>
        <w:rPr>
          <w:rFonts w:hint="eastAsia" w:eastAsia="方正楷体_GBK"/>
        </w:rPr>
        <w:t>（一）加强统筹协调。</w:t>
      </w:r>
    </w:p>
    <w:p>
      <w:pPr>
        <w:adjustRightInd/>
        <w:spacing w:line="240" w:lineRule="auto"/>
        <w:ind w:firstLine="632" w:firstLineChars="200"/>
        <w:textAlignment w:val="auto"/>
        <w:rPr>
          <w:rFonts w:hint="eastAsia"/>
        </w:rPr>
      </w:pPr>
      <w:r>
        <w:rPr>
          <w:rFonts w:hint="eastAsia"/>
        </w:rPr>
        <w:t>坚持党对能源工作的全面领导，加强政治引领。强化战略导向，落实国家能源战略，加强能源规划与国家能源法律法规、规</w:t>
      </w:r>
      <w:r>
        <w:rPr>
          <w:rFonts w:hint="eastAsia"/>
          <w:spacing w:val="-6"/>
        </w:rPr>
        <w:t>划、政策的衔接。充分发挥重庆市能源保障工作联席会议制度作用，</w:t>
      </w:r>
      <w:r>
        <w:rPr>
          <w:rFonts w:hint="eastAsia"/>
          <w:spacing w:val="-4"/>
        </w:rPr>
        <w:t>统筹推进全市能源规划实施工作，推动各项目标任务落地见效。</w:t>
      </w:r>
    </w:p>
    <w:p>
      <w:pPr>
        <w:adjustRightInd/>
        <w:spacing w:line="240" w:lineRule="auto"/>
        <w:ind w:firstLine="632" w:firstLineChars="200"/>
        <w:textAlignment w:val="auto"/>
        <w:rPr>
          <w:rFonts w:hint="eastAsia" w:eastAsia="方正楷体_GBK"/>
        </w:rPr>
      </w:pPr>
      <w:r>
        <w:rPr>
          <w:rFonts w:hint="eastAsia" w:eastAsia="方正楷体_GBK"/>
        </w:rPr>
        <w:t>（二）强化规划实施。</w:t>
      </w:r>
    </w:p>
    <w:p>
      <w:pPr>
        <w:adjustRightInd/>
        <w:spacing w:line="240" w:lineRule="auto"/>
        <w:ind w:firstLine="632" w:firstLineChars="200"/>
        <w:textAlignment w:val="auto"/>
        <w:rPr>
          <w:rFonts w:hint="eastAsia"/>
        </w:rPr>
      </w:pPr>
      <w:r>
        <w:rPr>
          <w:rFonts w:hint="eastAsia"/>
        </w:rPr>
        <w:t>结合国家现代能源体系规划及相关要求，制定具体工作方案，建立本规划实施工作机制，分解落实重要目标、重点任务，推进实施重大工程、重点项目，围绕约束性指标制定年度工作计划、分年度逐级下达落实。建立规划与项目一体化管理机制，以规划为依据推进能源项目建设。加强规划动态管理，开展规划实施情况动态监测、中期评估和总结评估。严格执行规划调整程序，及时向社会公开规划制定和调整情况，充分发挥社会舆论监督作用。</w:t>
      </w:r>
    </w:p>
    <w:p>
      <w:pPr>
        <w:adjustRightInd/>
        <w:spacing w:line="240" w:lineRule="auto"/>
        <w:ind w:firstLine="632" w:firstLineChars="200"/>
        <w:textAlignment w:val="auto"/>
        <w:rPr>
          <w:rFonts w:hint="eastAsia" w:eastAsia="方正楷体_GBK"/>
        </w:rPr>
      </w:pPr>
      <w:r>
        <w:rPr>
          <w:rFonts w:hint="eastAsia" w:eastAsia="方正楷体_GBK"/>
        </w:rPr>
        <w:t>（三）加强宣传引导。</w:t>
      </w:r>
    </w:p>
    <w:p>
      <w:pPr>
        <w:adjustRightInd/>
        <w:spacing w:line="240" w:lineRule="auto"/>
        <w:ind w:firstLine="632" w:firstLineChars="200"/>
        <w:textAlignment w:val="auto"/>
        <w:rPr>
          <w:rFonts w:hint="eastAsia"/>
        </w:rPr>
      </w:pPr>
      <w:r>
        <w:rPr>
          <w:rFonts w:hint="eastAsia"/>
        </w:rPr>
        <w:t>积极动员社会各方力量，开展新闻宣传、政策解读和教育普及。完善公众参与机制，加强信息公开，提高社会大众对能源规划实施、促进能源高质量发展的认知、支持和参与的积极性。注重舆论引导，回应社会关切，传递助推能源高质量发展的好声音和正能量。</w:t>
      </w:r>
    </w:p>
    <w:p>
      <w:pPr>
        <w:adjustRightInd/>
        <w:spacing w:line="240" w:lineRule="auto"/>
        <w:ind w:firstLine="632" w:firstLineChars="200"/>
        <w:textAlignment w:val="auto"/>
        <w:rPr>
          <w:rFonts w:hint="eastAsia" w:eastAsia="方正黑体_GBK"/>
        </w:rPr>
      </w:pPr>
      <w:r>
        <w:rPr>
          <w:rFonts w:hint="eastAsia" w:eastAsia="方正黑体_GBK"/>
        </w:rPr>
        <w:t>九、环境影响评价</w:t>
      </w:r>
    </w:p>
    <w:p>
      <w:pPr>
        <w:adjustRightInd/>
        <w:spacing w:line="240" w:lineRule="auto"/>
        <w:ind w:firstLine="632" w:firstLineChars="200"/>
        <w:textAlignment w:val="auto"/>
        <w:rPr>
          <w:rFonts w:hint="eastAsia" w:eastAsia="方正楷体_GBK"/>
        </w:rPr>
      </w:pPr>
      <w:r>
        <w:rPr>
          <w:rFonts w:hint="eastAsia" w:eastAsia="方正楷体_GBK"/>
        </w:rPr>
        <w:t>（一）规划实施的环境影响分析。</w:t>
      </w:r>
    </w:p>
    <w:p>
      <w:pPr>
        <w:adjustRightInd/>
        <w:spacing w:line="240" w:lineRule="auto"/>
        <w:ind w:firstLine="632" w:firstLineChars="200"/>
        <w:textAlignment w:val="auto"/>
        <w:rPr>
          <w:rFonts w:hint="eastAsia"/>
        </w:rPr>
      </w:pPr>
      <w:r>
        <w:rPr>
          <w:rFonts w:hint="eastAsia"/>
        </w:rPr>
        <w:t>“十四五”期间，全市能源发展从注重资源开发向完善能源通道、储存体系和综合利用方向转变，能源结构更优化，能源利用更清洁。具体措施包括引进先进节能设备，提高能源利用效率；推动多能互补梯级利用，推广分布式能源；因地制宜发展风能、太阳能、生物质能等非化石能源，推广实施燃煤替代、以气代油、</w:t>
      </w:r>
      <w:r>
        <w:rPr>
          <w:rFonts w:hint="eastAsia"/>
          <w:spacing w:val="-4"/>
        </w:rPr>
        <w:t>以电代油。能耗强度将由2020年0.391吨标准煤/万元下降到2025</w:t>
      </w:r>
      <w:r>
        <w:rPr>
          <w:rFonts w:hint="eastAsia"/>
        </w:rPr>
        <w:t>年0.334吨标准煤/万元左右。</w:t>
      </w:r>
    </w:p>
    <w:p>
      <w:pPr>
        <w:adjustRightInd/>
        <w:spacing w:line="240" w:lineRule="auto"/>
        <w:ind w:firstLine="632" w:firstLineChars="200"/>
        <w:textAlignment w:val="auto"/>
        <w:rPr>
          <w:rFonts w:hint="eastAsia"/>
        </w:rPr>
      </w:pPr>
      <w:r>
        <w:rPr>
          <w:rFonts w:hint="eastAsia"/>
        </w:rPr>
        <w:t>本规划的实施不会对区域环境空气质量、水环境造成明显不良影响，规划实施产生的固体废物不会对环境造成不良影响。大气环境承载能力方面，本规划包含的风电、光电等清洁能源和可再生能源建设项目，除燃煤电厂、油气项目排放大气污染物外，其他项目运营过程中均不产生大气污染物，且燃煤电厂实施削减方案，全市大气环境容量满足项目排放量。随着规划实施，逐步改变能源结构，实现污染物总量削减，将进一步增加环境容量，改善环境质量。到“十四五”末排放总量明显削减，可有效减轻我市大气环境承载压力，改善环境空气质量。水环境承载能力方面，我市水质量环境总体保持良好态势，水环境容量能够支持本规划的实施。规划包含的项目，除生活污水外，基本无废水排放，主要废水污染物（COD、氨氮）的环境容量总体上可以满足规划实施后新增的污染物排放量，不会对水环境承载能力造成影响。矿产资源承载能力方面，我市能源发展依托的重点矿产资源，与本规划确定的产业发展需求相匹配，通过发挥就近资源优势和依靠外部资源渠道，能源供给可以保证规划目标的实现。</w:t>
      </w:r>
    </w:p>
    <w:p>
      <w:pPr>
        <w:adjustRightInd/>
        <w:spacing w:line="240" w:lineRule="auto"/>
        <w:ind w:firstLine="632" w:firstLineChars="200"/>
        <w:textAlignment w:val="auto"/>
        <w:rPr>
          <w:rFonts w:hint="eastAsia" w:eastAsia="方正楷体_GBK"/>
        </w:rPr>
      </w:pPr>
      <w:r>
        <w:rPr>
          <w:rFonts w:hint="eastAsia" w:eastAsia="方正楷体_GBK"/>
        </w:rPr>
        <w:t>（二）规划实施的环境保护措施。</w:t>
      </w:r>
    </w:p>
    <w:p>
      <w:pPr>
        <w:adjustRightInd/>
        <w:spacing w:line="240" w:lineRule="auto"/>
        <w:ind w:firstLine="632" w:firstLineChars="200"/>
        <w:textAlignment w:val="auto"/>
        <w:rPr>
          <w:rFonts w:hint="eastAsia"/>
        </w:rPr>
      </w:pPr>
      <w:r>
        <w:rPr>
          <w:rFonts w:hint="eastAsia"/>
        </w:rPr>
        <w:t>严格管控能源开发利用、生产转化、运输储存、通道建设等过程，预防和减少不良环境影响。</w:t>
      </w:r>
    </w:p>
    <w:p>
      <w:pPr>
        <w:adjustRightInd/>
        <w:spacing w:line="240" w:lineRule="auto"/>
        <w:ind w:firstLine="632" w:firstLineChars="200"/>
        <w:textAlignment w:val="auto"/>
        <w:rPr>
          <w:rFonts w:hint="eastAsia"/>
        </w:rPr>
      </w:pPr>
      <w:r>
        <w:rPr>
          <w:rFonts w:hint="eastAsia"/>
        </w:rPr>
        <w:t>强化能源开发利用中的环境保护。积极解决煤矿积存尾矿等问题，做好土地复垦、塌陷地整治利用和水土流失防治工作。推进油田伴生气等伴生资源利用。优化风电机组布局、合理安排风机距离，降低噪音和电磁辐射等环境影响。推动重点耗能企业节能减排，推动工业余热、余气、余压和废渣资源二次利用。推广建设综合能源供给站，减少土地占用。</w:t>
      </w:r>
    </w:p>
    <w:p>
      <w:pPr>
        <w:adjustRightInd/>
        <w:spacing w:line="240" w:lineRule="auto"/>
        <w:ind w:firstLine="632" w:firstLineChars="200"/>
        <w:textAlignment w:val="auto"/>
        <w:rPr>
          <w:rFonts w:hint="eastAsia"/>
        </w:rPr>
      </w:pPr>
      <w:r>
        <w:rPr>
          <w:rFonts w:hint="eastAsia"/>
        </w:rPr>
        <w:t>强化能源生产转化中的环境保护。加强能源项目节能评估审查。加强煤渣（灰）和脱硫脱硝副产物的处置利用，减少对土壤、水体的影响。推动落实电力企业等排污主体的环境责任，引导其增强自主减排动力。</w:t>
      </w:r>
    </w:p>
    <w:p>
      <w:pPr>
        <w:adjustRightInd/>
        <w:spacing w:line="240" w:lineRule="auto"/>
        <w:ind w:firstLine="632" w:firstLineChars="200"/>
        <w:textAlignment w:val="auto"/>
        <w:rPr>
          <w:rFonts w:hint="eastAsia"/>
        </w:rPr>
      </w:pPr>
      <w:r>
        <w:rPr>
          <w:rFonts w:hint="eastAsia"/>
        </w:rPr>
        <w:t>强化能源通道建设和储存设施建设中的环境保护。加强油气管道保护，加大隐患整治力度，提高管道安全运行水平，防止发生泄漏、爆炸、火灾等事故，避免天然气等危险化学品运输突发事故对环境造成不良影响。优化油气管网布局，推动油气资源清洁开发，促进废水循环利用。优化全市电网结构、探索多元能源利用等一系列政策措施，持续推动电力行业节能减排和清洁化生产利用。继续完善存储设施，严格按照安全、卫生防护距离布局选址，按照安全标准设计建造，做好消防、绿化、防渗、防溢、防泄、防尘集尘、截污治污等措施。</w:t>
      </w:r>
    </w:p>
    <w:p>
      <w:pPr>
        <w:adjustRightInd/>
        <w:spacing w:line="240" w:lineRule="auto"/>
        <w:ind w:firstLine="632" w:firstLineChars="200"/>
        <w:textAlignment w:val="auto"/>
        <w:rPr>
          <w:rFonts w:hint="eastAsia"/>
        </w:rPr>
      </w:pPr>
      <w:r>
        <w:rPr>
          <w:rFonts w:hint="eastAsia"/>
        </w:rPr>
        <w:t>完善能源行业环境保护监管机制。严格遵守《中华人民共和国环境保护法》《中华人民共和国节约能源法》等法律法规，切实履行能源企业的节能环保责任和义务，严守生态红线。实行企业自主监管、政府部门监管和社会监督同步运行的多主体、常态化监督机制，引导企业制定环境风险应急预案及保障体系，主动接受各方监督。</w:t>
      </w:r>
    </w:p>
    <w:p>
      <w:pPr>
        <w:adjustRightInd/>
        <w:spacing w:line="240" w:lineRule="auto"/>
        <w:ind w:firstLine="632" w:firstLineChars="200"/>
        <w:textAlignment w:val="auto"/>
        <w:rPr>
          <w:rFonts w:hint="eastAsia" w:eastAsia="方正楷体_GBK"/>
        </w:rPr>
      </w:pPr>
      <w:r>
        <w:rPr>
          <w:rFonts w:hint="eastAsia" w:eastAsia="方正楷体_GBK"/>
        </w:rPr>
        <w:t>（三）规划实施的环境保护结论。</w:t>
      </w:r>
    </w:p>
    <w:p>
      <w:pPr>
        <w:adjustRightInd/>
        <w:spacing w:line="240" w:lineRule="auto"/>
        <w:ind w:firstLine="632" w:firstLineChars="200"/>
        <w:textAlignment w:val="auto"/>
      </w:pPr>
      <w:r>
        <w:rPr>
          <w:rFonts w:hint="eastAsia"/>
        </w:rPr>
        <w:t>本规划符合国家产业政策、符合我市城市发展规划等相关规划要求、符合我市发展需要。规划实施后，天然气、新能源的使用将在一定程度上改变我市能源供应结构，从环境保护角度，本规划实施具备合理性和可行性。预期到2025年，全市能源行业发展对环境的影响将得到更好控制，能源行业节能减排目标可以实现。能源结构调整深入推进，能源生产更加清洁，资源利用更加高效，能源通道空间布局更加优化，环境质量进一步改善。</w:t>
      </w:r>
    </w:p>
    <w:sectPr>
      <w:footerReference r:id="rId5" w:type="default"/>
      <w:pgSz w:w="11906" w:h="16838"/>
      <w:pgMar w:top="2098" w:right="1531" w:bottom="1984" w:left="1531" w:header="851" w:footer="1417" w:gutter="0"/>
      <w:cols w:space="720" w:num="1"/>
      <w:titlePg/>
      <w:docGrid w:type="linesAndChars" w:linePitch="579" w:charSpace="-8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AD4DBC0-E526-47AB-96A4-704E15ACE3BE}"/>
  </w:font>
  <w:font w:name="Arial">
    <w:panose1 w:val="020B0604020202020204"/>
    <w:charset w:val="01"/>
    <w:family w:val="swiss"/>
    <w:pitch w:val="default"/>
    <w:sig w:usb0="E0002EFF" w:usb1="C000785B" w:usb2="00000009" w:usb3="00000000" w:csb0="400001FF" w:csb1="FFFF0000"/>
    <w:embedRegular r:id="rId2" w:fontKey="{42B48523-49EE-4E98-8EB7-E0AD6F7F080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DEC3BC2D-65ED-4842-B935-A68C955C7F34}"/>
  </w:font>
  <w:font w:name="Symbol">
    <w:panose1 w:val="05050102010706020507"/>
    <w:charset w:val="02"/>
    <w:family w:val="roman"/>
    <w:pitch w:val="default"/>
    <w:sig w:usb0="00000000" w:usb1="00000000" w:usb2="00000000" w:usb3="00000000" w:csb0="80000000" w:csb1="00000000"/>
    <w:embedRegular r:id="rId4" w:fontKey="{D0D7C245-FBAE-4B72-B233-FF5CBDBD10F1}"/>
  </w:font>
  <w:font w:name="Calibri">
    <w:panose1 w:val="020F0502020204030204"/>
    <w:charset w:val="00"/>
    <w:family w:val="swiss"/>
    <w:pitch w:val="default"/>
    <w:sig w:usb0="E0002EFF" w:usb1="C000247B" w:usb2="00000009" w:usb3="00000000" w:csb0="200001FF" w:csb1="00000000"/>
    <w:embedRegular r:id="rId5" w:fontKey="{03907AC0-4D57-4233-BA97-789FB2B36CEC}"/>
  </w:font>
  <w:font w:name="方正仿宋_GBK">
    <w:panose1 w:val="03000509000000000000"/>
    <w:charset w:val="86"/>
    <w:family w:val="script"/>
    <w:pitch w:val="default"/>
    <w:sig w:usb0="00000001" w:usb1="080E0000" w:usb2="00000000" w:usb3="00000000" w:csb0="00040000" w:csb1="00000000"/>
    <w:embedRegular r:id="rId6" w:fontKey="{45501B23-9A6B-4012-AB23-CD05E1595F0A}"/>
  </w:font>
  <w:font w:name="方正小标宋_GBK">
    <w:altName w:val="微软雅黑"/>
    <w:panose1 w:val="03000509000000000000"/>
    <w:charset w:val="86"/>
    <w:family w:val="script"/>
    <w:pitch w:val="default"/>
    <w:sig w:usb0="00000000" w:usb1="00000000" w:usb2="00000010" w:usb3="00000000" w:csb0="00040000" w:csb1="00000000"/>
    <w:embedRegular r:id="rId7" w:fontKey="{4B0E7251-FF24-4E86-AABC-D2D9CAD40DE8}"/>
  </w:font>
  <w:font w:name="微软雅黑">
    <w:panose1 w:val="020B0503020204020204"/>
    <w:charset w:val="86"/>
    <w:family w:val="auto"/>
    <w:pitch w:val="default"/>
    <w:sig w:usb0="80000287" w:usb1="2ACF3C50" w:usb2="00000016" w:usb3="00000000" w:csb0="0004001F" w:csb1="00000000"/>
  </w:font>
  <w:font w:name="方正黑体_GBK">
    <w:panose1 w:val="03000509000000000000"/>
    <w:charset w:val="86"/>
    <w:family w:val="script"/>
    <w:pitch w:val="default"/>
    <w:sig w:usb0="00000001" w:usb1="080E0000" w:usb2="00000000" w:usb3="00000000" w:csb0="00040000" w:csb1="00000000"/>
    <w:embedRegular r:id="rId8" w:fontKey="{B37E1727-B0D6-41CA-98AB-C0B0609667B9}"/>
  </w:font>
  <w:font w:name="方正楷体_GBK">
    <w:altName w:val="微软雅黑"/>
    <w:panose1 w:val="03000509000000000000"/>
    <w:charset w:val="86"/>
    <w:family w:val="script"/>
    <w:pitch w:val="default"/>
    <w:sig w:usb0="00000000" w:usb1="00000000" w:usb2="00000010" w:usb3="00000000" w:csb0="00040000" w:csb1="00000000"/>
    <w:embedRegular r:id="rId9" w:fontKey="{B39DAC3D-BD5A-4ADC-967F-23CE79BE77E4}"/>
  </w:font>
  <w:font w:name="方正书宋_GBK">
    <w:altName w:val="微软雅黑"/>
    <w:panose1 w:val="02000000000000000000"/>
    <w:charset w:val="86"/>
    <w:family w:val="script"/>
    <w:pitch w:val="default"/>
    <w:sig w:usb0="00000000" w:usb1="00000000" w:usb2="00000000" w:usb3="00000000" w:csb0="00040000" w:csb1="00000000"/>
    <w:embedRegular r:id="rId10" w:fontKey="{93DA5DCF-A6AF-4827-9BB9-61DB2132E5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rPr>
                              <w:rFonts w:hint="eastAsia" w:ascii="方正仿宋_GBK" w:hAnsi="方正仿宋_GBK" w:cs="方正仿宋_GBK"/>
                              <w:sz w:val="28"/>
                              <w:szCs w:val="28"/>
                            </w:rPr>
                          </w:pPr>
                          <w:r>
                            <w:rPr>
                              <w:rFonts w:hint="eastAsia" w:ascii="方正仿宋_GBK" w:hAnsi="方正仿宋_GBK" w:cs="方正仿宋_GBK"/>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rFonts w:hint="eastAsia" w:ascii="方正仿宋_GBK" w:hAnsi="方正仿宋_GBK" w:cs="方正仿宋_GBK"/>
                              <w:sz w:val="28"/>
                              <w:szCs w:val="28"/>
                            </w:rPr>
                            <w:t xml:space="preserve"> —</w:t>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Q6KUMgBAACZAwAADgAAAGRycy9lMm9Eb2MueG1srVPNjtMwEL4j8Q6W&#10;79Rph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Jl&#10;lqcPUGPWQ8C8NNz5AZdm9gM6M+tBRZu/yIdgHMU9X8WVQyIiP1qv1usKQwJj8wXx2ePzECG9ld6S&#10;bDQ04vSKqPz0HtKYOqfkas7fa2PKBI37y4GY2cNy72OP2UrDfpgI7X17Rj49Dr6hDvecEvPOoa55&#10;R2YjzsZ+No4h6kNXlijXg3B7TNhE6S1XGGGnwjixwm7arrwSf95L1uMftf0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NEOilDIAQAAmQMAAA4AAAAAAAAAAQAgAAAAHgEAAGRycy9lMm9Eb2Mu&#10;eG1sUEsFBgAAAAAGAAYAWQEAAFgFAAAAAA==&#10;">
              <v:fill on="f" focussize="0,0"/>
              <v:stroke on="f"/>
              <v:imagedata o:title=""/>
              <o:lock v:ext="edit" aspectratio="f"/>
              <v:textbox inset="0mm,0mm,0mm,0mm" style="mso-fit-shape-to-text:t;">
                <w:txbxContent>
                  <w:p>
                    <w:pPr>
                      <w:pStyle w:val="4"/>
                      <w:rPr>
                        <w:rFonts w:hint="eastAsia" w:ascii="方正仿宋_GBK" w:hAnsi="方正仿宋_GBK" w:cs="方正仿宋_GBK"/>
                        <w:sz w:val="28"/>
                        <w:szCs w:val="28"/>
                      </w:rPr>
                    </w:pPr>
                    <w:r>
                      <w:rPr>
                        <w:rFonts w:hint="eastAsia" w:ascii="方正仿宋_GBK" w:hAnsi="方正仿宋_GBK" w:cs="方正仿宋_GBK"/>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rFonts w:hint="eastAsia" w:ascii="方正仿宋_GBK" w:hAnsi="方正仿宋_GBK" w:cs="方正仿宋_GBK"/>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hyphenationZone w:val="360"/>
  <w:drawingGridHorizontalSpacing w:val="158"/>
  <w:drawingGridVerticalSpacing w:val="579"/>
  <w:displayHorizontalDrawingGridEvery w:val="0"/>
  <w:displayVerticalDrawingGridEvery w:val="1"/>
  <w:characterSpacingControl w:val="compressPunctuation"/>
  <w:noLineBreaksAfter w:lang="zh-CN" w:val="([{·‘“〈《「『【〔〖（．［｛￡￥"/>
  <w:noLineBreaksBefore w:lang="zh-CN" w:val="!),.:;?]}¨·ˇˉ―‖’”…∶、。〃々〉》」』】〕〗！＂＇），．：；？］｀｜｝～￠"/>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I5MjAzMGUwMWU2MzNmYTc3ODU4ZDZlYTNiMzZiY2MifQ=="/>
  </w:docVars>
  <w:rsids>
    <w:rsidRoot w:val="000C5E6E"/>
    <w:rsid w:val="000A01FB"/>
    <w:rsid w:val="000B24F9"/>
    <w:rsid w:val="000B4A22"/>
    <w:rsid w:val="000C0BF7"/>
    <w:rsid w:val="000C2FB2"/>
    <w:rsid w:val="000C5E6E"/>
    <w:rsid w:val="000C6B28"/>
    <w:rsid w:val="000F25BF"/>
    <w:rsid w:val="001005AC"/>
    <w:rsid w:val="001024AA"/>
    <w:rsid w:val="001056AD"/>
    <w:rsid w:val="00182501"/>
    <w:rsid w:val="00185691"/>
    <w:rsid w:val="001B58F6"/>
    <w:rsid w:val="001D3042"/>
    <w:rsid w:val="001E64D7"/>
    <w:rsid w:val="001F7BBB"/>
    <w:rsid w:val="002466FA"/>
    <w:rsid w:val="00250A8A"/>
    <w:rsid w:val="0026530B"/>
    <w:rsid w:val="00296D93"/>
    <w:rsid w:val="002B04C6"/>
    <w:rsid w:val="00301B6D"/>
    <w:rsid w:val="00392240"/>
    <w:rsid w:val="00396CAE"/>
    <w:rsid w:val="003B3891"/>
    <w:rsid w:val="003D5F25"/>
    <w:rsid w:val="003E4FE8"/>
    <w:rsid w:val="003E5084"/>
    <w:rsid w:val="003F450B"/>
    <w:rsid w:val="00413264"/>
    <w:rsid w:val="00432433"/>
    <w:rsid w:val="00434D79"/>
    <w:rsid w:val="00474C3A"/>
    <w:rsid w:val="00496D2E"/>
    <w:rsid w:val="00497F00"/>
    <w:rsid w:val="004A2FB3"/>
    <w:rsid w:val="004E0474"/>
    <w:rsid w:val="0050535E"/>
    <w:rsid w:val="0057013C"/>
    <w:rsid w:val="005777F4"/>
    <w:rsid w:val="005C7EAE"/>
    <w:rsid w:val="005F3C4D"/>
    <w:rsid w:val="006042BD"/>
    <w:rsid w:val="006068C6"/>
    <w:rsid w:val="006A30D0"/>
    <w:rsid w:val="006C0DE2"/>
    <w:rsid w:val="0072131F"/>
    <w:rsid w:val="00731C1B"/>
    <w:rsid w:val="00737083"/>
    <w:rsid w:val="00765BC9"/>
    <w:rsid w:val="007770A5"/>
    <w:rsid w:val="00794916"/>
    <w:rsid w:val="007F46CB"/>
    <w:rsid w:val="00815223"/>
    <w:rsid w:val="00831787"/>
    <w:rsid w:val="00850D3F"/>
    <w:rsid w:val="00860A47"/>
    <w:rsid w:val="00891C35"/>
    <w:rsid w:val="008935D1"/>
    <w:rsid w:val="008B74C0"/>
    <w:rsid w:val="009048D5"/>
    <w:rsid w:val="00904AFE"/>
    <w:rsid w:val="0092122C"/>
    <w:rsid w:val="009220DF"/>
    <w:rsid w:val="00965CCB"/>
    <w:rsid w:val="00972E17"/>
    <w:rsid w:val="00974193"/>
    <w:rsid w:val="009A5EB0"/>
    <w:rsid w:val="00A40C10"/>
    <w:rsid w:val="00A443C1"/>
    <w:rsid w:val="00A955CD"/>
    <w:rsid w:val="00B1777D"/>
    <w:rsid w:val="00B51CD6"/>
    <w:rsid w:val="00B73014"/>
    <w:rsid w:val="00B833D8"/>
    <w:rsid w:val="00BF0A53"/>
    <w:rsid w:val="00C464A8"/>
    <w:rsid w:val="00C6762A"/>
    <w:rsid w:val="00D01740"/>
    <w:rsid w:val="00D7295A"/>
    <w:rsid w:val="00D878F1"/>
    <w:rsid w:val="00D97CFB"/>
    <w:rsid w:val="00DB38C2"/>
    <w:rsid w:val="00DD2B37"/>
    <w:rsid w:val="00DD4877"/>
    <w:rsid w:val="00E03841"/>
    <w:rsid w:val="00E7080E"/>
    <w:rsid w:val="00E73AC1"/>
    <w:rsid w:val="00E770E1"/>
    <w:rsid w:val="00E93235"/>
    <w:rsid w:val="00ED5B9D"/>
    <w:rsid w:val="00F14A44"/>
    <w:rsid w:val="00F63B69"/>
    <w:rsid w:val="00FA4D84"/>
    <w:rsid w:val="00FA4DBD"/>
    <w:rsid w:val="02FA9B84"/>
    <w:rsid w:val="0CDD5CC5"/>
    <w:rsid w:val="0CF02DEE"/>
    <w:rsid w:val="107E7BE4"/>
    <w:rsid w:val="11A04AE4"/>
    <w:rsid w:val="12080E07"/>
    <w:rsid w:val="127C7887"/>
    <w:rsid w:val="12C81AA5"/>
    <w:rsid w:val="15F712F7"/>
    <w:rsid w:val="1D2027D0"/>
    <w:rsid w:val="1F4C00ED"/>
    <w:rsid w:val="1FFA1174"/>
    <w:rsid w:val="23570372"/>
    <w:rsid w:val="26D83835"/>
    <w:rsid w:val="2B6F62D5"/>
    <w:rsid w:val="2BEF6201"/>
    <w:rsid w:val="2D57E7EC"/>
    <w:rsid w:val="2F72A683"/>
    <w:rsid w:val="35EF5E14"/>
    <w:rsid w:val="37EE6F61"/>
    <w:rsid w:val="38146403"/>
    <w:rsid w:val="38B97D28"/>
    <w:rsid w:val="3C940471"/>
    <w:rsid w:val="3EAB0813"/>
    <w:rsid w:val="3EBF1C46"/>
    <w:rsid w:val="3EE6F376"/>
    <w:rsid w:val="3EF73A63"/>
    <w:rsid w:val="3F5E7B73"/>
    <w:rsid w:val="3F76408E"/>
    <w:rsid w:val="3FFB8D37"/>
    <w:rsid w:val="40236899"/>
    <w:rsid w:val="45E47B16"/>
    <w:rsid w:val="47651902"/>
    <w:rsid w:val="477B47A9"/>
    <w:rsid w:val="49BBA359"/>
    <w:rsid w:val="49DF0443"/>
    <w:rsid w:val="4A30398A"/>
    <w:rsid w:val="4CE7092E"/>
    <w:rsid w:val="4DF5B938"/>
    <w:rsid w:val="4E252DB9"/>
    <w:rsid w:val="4FFEE5F5"/>
    <w:rsid w:val="54E47F11"/>
    <w:rsid w:val="57AB954E"/>
    <w:rsid w:val="57F334F7"/>
    <w:rsid w:val="57FF508A"/>
    <w:rsid w:val="5AB7B120"/>
    <w:rsid w:val="5B7F2C84"/>
    <w:rsid w:val="5BC50A62"/>
    <w:rsid w:val="5FBC0662"/>
    <w:rsid w:val="5FDFF98F"/>
    <w:rsid w:val="5FF1167B"/>
    <w:rsid w:val="5FFBD815"/>
    <w:rsid w:val="61561366"/>
    <w:rsid w:val="625C3242"/>
    <w:rsid w:val="62F74EE0"/>
    <w:rsid w:val="63BFD95A"/>
    <w:rsid w:val="66BF7F0A"/>
    <w:rsid w:val="673C55E1"/>
    <w:rsid w:val="696E3491"/>
    <w:rsid w:val="69FE41C7"/>
    <w:rsid w:val="6AFF5937"/>
    <w:rsid w:val="6B57BFED"/>
    <w:rsid w:val="6B7D78EA"/>
    <w:rsid w:val="6B7F5DAB"/>
    <w:rsid w:val="6BDD591A"/>
    <w:rsid w:val="6BED4B47"/>
    <w:rsid w:val="6BEDF9B1"/>
    <w:rsid w:val="6CFF4EC1"/>
    <w:rsid w:val="6EFDAAE4"/>
    <w:rsid w:val="6FF7CF8E"/>
    <w:rsid w:val="6FFF34D5"/>
    <w:rsid w:val="726B7973"/>
    <w:rsid w:val="72B7ADCD"/>
    <w:rsid w:val="73D7B105"/>
    <w:rsid w:val="757974E0"/>
    <w:rsid w:val="75ED0DB5"/>
    <w:rsid w:val="75F71329"/>
    <w:rsid w:val="775FA5F5"/>
    <w:rsid w:val="77BC1AC6"/>
    <w:rsid w:val="77E74707"/>
    <w:rsid w:val="77F4EDA3"/>
    <w:rsid w:val="77FD0D42"/>
    <w:rsid w:val="79D6A138"/>
    <w:rsid w:val="79EFAAF0"/>
    <w:rsid w:val="7AB3931F"/>
    <w:rsid w:val="7AFC76E8"/>
    <w:rsid w:val="7B5F6FE8"/>
    <w:rsid w:val="7B71496F"/>
    <w:rsid w:val="7CC6F03E"/>
    <w:rsid w:val="7CFFA63C"/>
    <w:rsid w:val="7DE67EA6"/>
    <w:rsid w:val="7E33B96F"/>
    <w:rsid w:val="7E5FECA7"/>
    <w:rsid w:val="7EDF8FA9"/>
    <w:rsid w:val="7EEFEBCA"/>
    <w:rsid w:val="7EFE1DAF"/>
    <w:rsid w:val="7F76EC7E"/>
    <w:rsid w:val="7F7D1E63"/>
    <w:rsid w:val="7F9E7181"/>
    <w:rsid w:val="7FAF35C1"/>
    <w:rsid w:val="7FB5D529"/>
    <w:rsid w:val="7FB7E628"/>
    <w:rsid w:val="7FBF281F"/>
    <w:rsid w:val="7FC5E823"/>
    <w:rsid w:val="7FCDF39D"/>
    <w:rsid w:val="7FDFA1B9"/>
    <w:rsid w:val="7FEC39E3"/>
    <w:rsid w:val="7FEFB65C"/>
    <w:rsid w:val="7FF7B11C"/>
    <w:rsid w:val="8AFBF7C0"/>
    <w:rsid w:val="917DAA62"/>
    <w:rsid w:val="977F1A0A"/>
    <w:rsid w:val="98FF1734"/>
    <w:rsid w:val="9CFF0EAC"/>
    <w:rsid w:val="9F7F2424"/>
    <w:rsid w:val="A6F13DF3"/>
    <w:rsid w:val="A9915DA3"/>
    <w:rsid w:val="AFBCEB22"/>
    <w:rsid w:val="AFDBA861"/>
    <w:rsid w:val="AFFAAD34"/>
    <w:rsid w:val="AFFD8350"/>
    <w:rsid w:val="B57FC4C2"/>
    <w:rsid w:val="B64F0746"/>
    <w:rsid w:val="B6A9D6EC"/>
    <w:rsid w:val="B6F75BCE"/>
    <w:rsid w:val="BA7B23C6"/>
    <w:rsid w:val="BC7B7443"/>
    <w:rsid w:val="BD75F31D"/>
    <w:rsid w:val="BDD39718"/>
    <w:rsid w:val="BDFBC2AD"/>
    <w:rsid w:val="BDFD46BC"/>
    <w:rsid w:val="BE5FAC21"/>
    <w:rsid w:val="BF973199"/>
    <w:rsid w:val="BF9FF0F2"/>
    <w:rsid w:val="CDFFEB7B"/>
    <w:rsid w:val="D8D5ECBD"/>
    <w:rsid w:val="DBF7FB4C"/>
    <w:rsid w:val="DCAE126F"/>
    <w:rsid w:val="DE66DF84"/>
    <w:rsid w:val="DEBF63BF"/>
    <w:rsid w:val="DFEB4ADC"/>
    <w:rsid w:val="DFFE1DA5"/>
    <w:rsid w:val="E37FCBD5"/>
    <w:rsid w:val="E52EB73A"/>
    <w:rsid w:val="E67E13A4"/>
    <w:rsid w:val="E7B282D1"/>
    <w:rsid w:val="E7BA4388"/>
    <w:rsid w:val="E9F7EB0B"/>
    <w:rsid w:val="EA7D4E9B"/>
    <w:rsid w:val="EBED45F8"/>
    <w:rsid w:val="EBF7038A"/>
    <w:rsid w:val="EDDF04AA"/>
    <w:rsid w:val="EDFD6C89"/>
    <w:rsid w:val="EDFDB4E3"/>
    <w:rsid w:val="EE9FFFD2"/>
    <w:rsid w:val="EEBFAFDF"/>
    <w:rsid w:val="EEFBE737"/>
    <w:rsid w:val="EFEFD646"/>
    <w:rsid w:val="EFF3871F"/>
    <w:rsid w:val="EFF6AFCC"/>
    <w:rsid w:val="F14E1DD5"/>
    <w:rsid w:val="F2FF0602"/>
    <w:rsid w:val="F76E4BE6"/>
    <w:rsid w:val="F77CD2DE"/>
    <w:rsid w:val="F77F6FEF"/>
    <w:rsid w:val="FAEF9DC6"/>
    <w:rsid w:val="FBFBF0CA"/>
    <w:rsid w:val="FBFFA80E"/>
    <w:rsid w:val="FDA07C0B"/>
    <w:rsid w:val="FDEDDC09"/>
    <w:rsid w:val="FE7E3E33"/>
    <w:rsid w:val="FF3FF167"/>
    <w:rsid w:val="FF5F80F8"/>
    <w:rsid w:val="FF77D8EE"/>
    <w:rsid w:val="FFBF289C"/>
    <w:rsid w:val="FFD4D6BC"/>
    <w:rsid w:val="FFEF7671"/>
    <w:rsid w:val="FFFF1A7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12" w:lineRule="atLeast"/>
      <w:jc w:val="both"/>
      <w:textAlignment w:val="baseline"/>
    </w:pPr>
    <w:rPr>
      <w:rFonts w:ascii="Times New Roman" w:hAnsi="Times New Roman" w:eastAsia="方正仿宋_GBK" w:cs="Times New Roman"/>
      <w:sz w:val="32"/>
      <w:szCs w:val="32"/>
      <w:lang w:val="en-US" w:eastAsia="zh-CN" w:bidi="ar-SA"/>
    </w:rPr>
  </w:style>
  <w:style w:type="character" w:default="1" w:styleId="8">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Body Text"/>
    <w:basedOn w:val="1"/>
    <w:next w:val="1"/>
    <w:qFormat/>
    <w:uiPriority w:val="0"/>
    <w:rPr>
      <w:color w:val="000000"/>
    </w:rPr>
  </w:style>
  <w:style w:type="paragraph" w:styleId="3">
    <w:name w:val="Balloon Text"/>
    <w:basedOn w:val="1"/>
    <w:qFormat/>
    <w:uiPriority w:val="0"/>
    <w:rPr>
      <w:sz w:val="18"/>
      <w:szCs w:val="18"/>
    </w:rPr>
  </w:style>
  <w:style w:type="paragraph" w:styleId="4">
    <w:name w:val="footer"/>
    <w:basedOn w:val="1"/>
    <w:link w:val="10"/>
    <w:qFormat/>
    <w:uiPriority w:val="0"/>
    <w:pPr>
      <w:tabs>
        <w:tab w:val="center" w:pos="4153"/>
        <w:tab w:val="right" w:pos="8306"/>
      </w:tabs>
      <w:snapToGrid w:val="0"/>
      <w:spacing w:line="240" w:lineRule="atLeast"/>
      <w:jc w:val="left"/>
    </w:pPr>
    <w:rPr>
      <w:sz w:val="18"/>
      <w:szCs w:val="18"/>
    </w:rPr>
  </w:style>
  <w:style w:type="paragraph" w:styleId="5">
    <w:name w:val="header"/>
    <w:basedOn w:val="1"/>
    <w:link w:val="11"/>
    <w:qFormat/>
    <w:uiPriority w:val="0"/>
    <w:pPr>
      <w:pBdr>
        <w:bottom w:val="single" w:color="auto" w:sz="6" w:space="1"/>
      </w:pBdr>
      <w:tabs>
        <w:tab w:val="center" w:pos="4153"/>
        <w:tab w:val="right" w:pos="8306"/>
      </w:tabs>
      <w:snapToGrid w:val="0"/>
      <w:spacing w:line="240" w:lineRule="atLeast"/>
      <w:jc w:val="center"/>
    </w:pPr>
    <w:rPr>
      <w:sz w:val="18"/>
      <w:szCs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page number"/>
    <w:qFormat/>
    <w:uiPriority w:val="0"/>
  </w:style>
  <w:style w:type="character" w:customStyle="1" w:styleId="10">
    <w:name w:val="页脚 字符"/>
    <w:link w:val="4"/>
    <w:qFormat/>
    <w:uiPriority w:val="99"/>
    <w:rPr>
      <w:rFonts w:eastAsia="方正仿宋_GBK"/>
      <w:sz w:val="18"/>
      <w:szCs w:val="18"/>
    </w:rPr>
  </w:style>
  <w:style w:type="character" w:customStyle="1" w:styleId="11">
    <w:name w:val="页眉 字符"/>
    <w:link w:val="5"/>
    <w:qFormat/>
    <w:uiPriority w:val="0"/>
    <w:rPr>
      <w:rFonts w:eastAsia="方正仿宋_GBK"/>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emf"/><Relationship Id="rId7" Type="http://schemas.openxmlformats.org/officeDocument/2006/relationships/image" Target="media/image1.emf"/><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jw</Company>
  <Pages>35</Pages>
  <Words>17194</Words>
  <Characters>17980</Characters>
  <Lines>131</Lines>
  <Paragraphs>37</Paragraphs>
  <TotalTime>0</TotalTime>
  <ScaleCrop>false</ScaleCrop>
  <LinksUpToDate>false</LinksUpToDate>
  <CharactersWithSpaces>18018</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2009-06-24T10:03:00Z</dcterms:created>
  <dc:creator>jw</dc:creator>
  <cp:lastModifiedBy>张秋秋</cp:lastModifiedBy>
  <cp:lastPrinted>2022-06-07T06:22:00Z</cp:lastPrinted>
  <dcterms:modified xsi:type="dcterms:W3CDTF">2022-06-16T11:18:57Z</dcterms:modified>
  <dc:title>重庆市计委关于巫山县小小三峡手扒岩至平河</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标题">
    <vt:lpwstr>关于呈请审定公开版《重庆市能源发展“十四五”规划（2021-2025年）》（送审稿）的请示</vt:lpwstr>
  </property>
  <property fmtid="{D5CDD505-2E9C-101B-9397-08002B2CF9AE}" pid="4" name="ICV">
    <vt:lpwstr>62BF37AA6C334641AE411BC0B0D2C983</vt:lpwstr>
  </property>
  <property fmtid="{D5CDD505-2E9C-101B-9397-08002B2CF9AE}" pid="5" name="KSOSaveFontToCloudKey">
    <vt:lpwstr>380550067_embed</vt:lpwstr>
  </property>
</Properties>
</file>