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Times New Roman" w:hAnsi="Times New Roman" w:cs="Times New Roman"/>
        </w:rPr>
      </w:pPr>
      <w:bookmarkStart w:id="2" w:name="_GoBack"/>
      <w:bookmarkEnd w:id="2"/>
      <w:r>
        <w:rPr>
          <w:rFonts w:ascii="Times New Roman" w:hAnsi="Times New Roman" w:eastAsia="方正黑体_GBK" w:cs="Times New Roman"/>
          <w:sz w:val="32"/>
          <w:szCs w:val="32"/>
        </w:rPr>
        <w:t>附件1</w:t>
      </w:r>
    </w:p>
    <w:p>
      <w:pPr>
        <w:snapToGrid w:val="0"/>
        <w:spacing w:line="600" w:lineRule="exact"/>
        <w:jc w:val="center"/>
        <w:rPr>
          <w:rFonts w:eastAsia="方正小标宋_GBK"/>
          <w:sz w:val="44"/>
          <w:szCs w:val="44"/>
        </w:rPr>
      </w:pPr>
      <w:r>
        <w:rPr>
          <w:rFonts w:eastAsia="方正小标宋_GBK"/>
          <w:sz w:val="44"/>
          <w:szCs w:val="44"/>
        </w:rPr>
        <w:t>电子文件图形标准</w:t>
      </w:r>
    </w:p>
    <w:p>
      <w:pPr>
        <w:pStyle w:val="2"/>
        <w:spacing w:line="600" w:lineRule="exact"/>
        <w:ind w:firstLine="640"/>
      </w:pPr>
    </w:p>
    <w:p>
      <w:pPr>
        <w:spacing w:line="600" w:lineRule="exact"/>
        <w:ind w:firstLine="64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一、成果构成</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1、项目方案涉及到的总平面图、单体平面图、立面图、剖面图。</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2、方案总平面图及每个建筑单体必须为单独的图形文件，文件名称需反应出对应的图纸类型，所有图纸均放入同一文件夹。例如：XX项目总平面图、XX项目X栋平面图。</w:t>
      </w:r>
    </w:p>
    <w:p>
      <w:pPr>
        <w:spacing w:line="600" w:lineRule="exact"/>
        <w:ind w:firstLine="640"/>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二、图纸标准</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1、数据格式：图形采用AutoCAD格式，版本为R2004的DWG文件。</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2、计算单位：建筑面积以平方米为计算单位，计算结果取小数点后2位。</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3、电子文件应与报建设计图纸对应一致。</w:t>
      </w:r>
    </w:p>
    <w:p>
      <w:pPr>
        <w:spacing w:line="600" w:lineRule="exact"/>
        <w:ind w:firstLine="640"/>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三、制图标准</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1、总平面图应在建设用地规划许可证附图上绘制，不得修改现状地形、地物的坐标。</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2、分栋建筑各层平面图（含地下建筑）应位于同一个电子文件中，应按照附表要求绘制相关轮廓线及标注。</w:t>
      </w:r>
    </w:p>
    <w:p>
      <w:pPr>
        <w:spacing w:line="600" w:lineRule="exact"/>
        <w:ind w:firstLine="640"/>
        <w:rPr>
          <w:rFonts w:hint="default" w:ascii="Times New Roman" w:hAnsi="Times New Roman" w:eastAsia="方正仿宋_GBK" w:cs="Times New Roman"/>
        </w:rPr>
      </w:pPr>
      <w:r>
        <w:rPr>
          <w:rFonts w:hint="default" w:ascii="Times New Roman" w:hAnsi="Times New Roman" w:eastAsia="方正仿宋_GBK" w:cs="Times New Roman"/>
          <w:sz w:val="32"/>
          <w:szCs w:val="32"/>
        </w:rPr>
        <w:t>3、图形分层应符合表1标准，建筑图形实体颜色应符合表2标准，住宅套内图形实体颜色应符合表3的标准。</w:t>
      </w:r>
    </w:p>
    <w:p>
      <w:pPr>
        <w:widowControl/>
        <w:spacing w:line="600" w:lineRule="exact"/>
        <w:jc w:val="left"/>
        <w:rPr>
          <w:rFonts w:eastAsia="方正黑体_GBK"/>
          <w:sz w:val="32"/>
          <w:szCs w:val="32"/>
        </w:rPr>
      </w:pPr>
      <w:r>
        <w:rPr>
          <w:rFonts w:eastAsia="方正黑体_GBK"/>
        </w:rPr>
        <w:br w:type="page"/>
      </w:r>
      <w:r>
        <w:rPr>
          <w:rFonts w:ascii="Times New Roman" w:hAnsi="Times New Roman" w:eastAsia="方正黑体_GBK" w:cs="Times New Roman"/>
          <w:sz w:val="32"/>
          <w:szCs w:val="32"/>
        </w:rPr>
        <w:t>表1</w:t>
      </w:r>
    </w:p>
    <w:p>
      <w:pPr>
        <w:widowControl/>
        <w:spacing w:line="60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图形分层标准</w:t>
      </w:r>
    </w:p>
    <w:tbl>
      <w:tblPr>
        <w:tblStyle w:val="6"/>
        <w:tblW w:w="844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3"/>
        <w:gridCol w:w="1702"/>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图层名</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图层颜色号</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X-B-底层平面</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包含所有在底层平面中的图形实体，X表栋号。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包含所有各相同建筑结构层中的图形实体；xx、yy分别表示标准层的起、止层数（如：1号楼第5至10层，则图层名为：1-F-分层平面&amp;5-10）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X-D-地下建筑&amp;xx-yy</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包含所有各相同建筑结构不同的地下建筑结构层中的图形实体；xx、yy分别表示标准层的起、止层数（如：建筑负1、2层则图层名为：X-D-地下建筑&amp;1-2）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X-F-分层平面&amp;xx-yy-奇数层</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包含所有各相同建筑结构层中的图形实体；-xx-yy-奇数层表示标准层的起、止层数中的奇数层（如：建筑第5至10层的奇数层，则图层名为：X-F-分层平面&amp;5-9-奇数层，计算的是5、7、9三层的建筑面积）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X-F-分层平面&amp;xx-yy-偶数层</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包含所有各相同建筑结构层中的图形实体；-xx-yy-偶数层表示标准层的起、止层数中的偶数层（如：建筑第5至10层的偶数层，则图层名为：X-F-分层平面&amp;6-10-偶数层，计算的是6、8、10三层的建筑面积）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X-F-分层平面-（其他）</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“其他”适用于各种上述内容中未包括的楼层类型。（如： X-F-分层平面（夹层）、X-F-分层平面（屋顶层）、X-F-分层平面（机房层）、X-F-分层平面（水箱间层）等）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8450"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注：奇、偶数层的层数起止数应与其奇、偶类型一致。（例如：3-31奇数层，2-30偶数层，不得为4-31奇数层，或者2-31偶数层）</w:t>
            </w:r>
          </w:p>
        </w:tc>
      </w:tr>
    </w:tbl>
    <w:p>
      <w:pPr>
        <w:widowControl/>
        <w:jc w:val="left"/>
        <w:rPr>
          <w:bCs/>
        </w:rPr>
        <w:sectPr>
          <w:footerReference r:id="rId3" w:type="default"/>
          <w:pgSz w:w="11906" w:h="16838"/>
          <w:pgMar w:top="1984" w:right="1417" w:bottom="1134" w:left="1701" w:header="720" w:footer="1134" w:gutter="0"/>
          <w:cols w:space="0" w:num="1"/>
          <w:rtlGutter w:val="0"/>
          <w:docGrid w:type="lines" w:linePitch="435" w:charSpace="0"/>
        </w:sectPr>
      </w:pPr>
    </w:p>
    <w:p>
      <w:pPr>
        <w:widowControl/>
        <w:jc w:val="left"/>
        <w:rPr>
          <w:rFonts w:eastAsia="方正黑体_GBK"/>
          <w:sz w:val="32"/>
          <w:szCs w:val="32"/>
        </w:rPr>
      </w:pPr>
      <w:r>
        <w:rPr>
          <w:rFonts w:eastAsia="方正黑体_GBK"/>
        </w:rPr>
        <w:br w:type="page"/>
      </w:r>
      <w:r>
        <w:rPr>
          <w:rFonts w:ascii="Times New Roman" w:hAnsi="Times New Roman" w:eastAsia="方正黑体_GBK" w:cs="Times New Roman"/>
          <w:sz w:val="32"/>
          <w:szCs w:val="32"/>
        </w:rPr>
        <w:t>表2</w:t>
      </w:r>
    </w:p>
    <w:p>
      <w:pPr>
        <w:widowControl/>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建筑图形实体颜色标准</w:t>
      </w:r>
    </w:p>
    <w:tbl>
      <w:tblPr>
        <w:tblStyle w:val="6"/>
        <w:tblW w:w="84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0" w:type="dxa"/>
          <w:bottom w:w="0" w:type="dxa"/>
          <w:right w:w="0" w:type="dxa"/>
        </w:tblCellMar>
      </w:tblPr>
      <w:tblGrid>
        <w:gridCol w:w="2235"/>
        <w:gridCol w:w="902"/>
        <w:gridCol w:w="5323"/>
        <w:tblGridChange w:id="0">
          <w:tblGrid>
            <w:gridCol w:w="2235"/>
            <w:gridCol w:w="902"/>
            <w:gridCol w:w="532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01"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图形实体名</w:t>
            </w:r>
          </w:p>
        </w:tc>
        <w:tc>
          <w:tcPr>
            <w:tcW w:w="9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CAD颜色号</w:t>
            </w: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323"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底层平面建筑轮廓线（层高≥2.2m）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层高≥2.2m,闭合Pline，计算全面积。包括：底层建筑的外围水平投影轮廓线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55" w:hRule="atLeast"/>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分层平面建筑轮廓线（层高≥2.2m）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层高≥2.2m，闭合Pline，计算全面积。包括：地上建筑结构层的外围水平投影轮廓线等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55" w:hRule="atLeast"/>
        </w:trPr>
        <w:tc>
          <w:tcPr>
            <w:tcW w:w="84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default" w:ascii="Times New Roman" w:hAnsi="Times New Roman" w:eastAsia="方正仿宋_GBK" w:cs="Times New Roman"/>
                <w:sz w:val="28"/>
                <w:szCs w:val="28"/>
              </w:rPr>
            </w:pP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坡屋顶和场馆看台下2.1m处的水平截面轮廓线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地下平面建筑轮廓线（层高≥2.2m）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139</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 计算全面积。包括：地下建筑结构层的外围水平投影轮廓线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地下平面最大建筑轮廓线</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131</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闭合Pline，地下建筑结构层的最大外围水平投影轮廓线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20" w:hRule="atLeast"/>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层高＜2.2m的建筑结构层</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145</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 计算1/2面积。包括：①地下室、半地下室（车间、商店、车站、仓库、车库）；②设计加以利用、无围护结构的建筑吊脚架空层；③设计加以利用、有围护结构的建筑吊脚架空层、深基础架空层；④立体书库、立体仓库、立体车库；⑤有永久性顶盖无围护结构的场馆看台；⑥设有围护结构不垂直水平面而超出底板外沿的建筑层；⑦有围护结构的舞台灯光控制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84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default" w:ascii="Times New Roman" w:hAnsi="Times New Roman" w:eastAsia="方正仿宋_GBK" w:cs="Times New Roman"/>
                <w:sz w:val="28"/>
                <w:szCs w:val="28"/>
              </w:rPr>
            </w:pP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46</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坡屋顶结构层和场馆看台下1.2m处的水平投影轮廓线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9"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层高＜2.2m的内部建筑物</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闭合Pline，计算1/2面积。包括：楼梯间、储藏室、设备间、门厅、大厅等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6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阳台</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140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 计算1/2面积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99"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非加盖层采光井、天井</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161</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闭合Pline，不计算建筑面积，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atLeas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其他按照水平投影面积一半计算的建筑实体</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98</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1/2面积。包括：①有永久性顶盖的室外楼梯；②外边线至外墙结构外边线的宽度&gt;2.1m的雨篷；③有永久性顶盖无围护结构的架空走廊；④层高&lt;2.2m，建筑物外有围护结构的落地橱窗、门斗、挑廊、走廊、檐廊；⑤有永久性顶盖无围护结构的落地橱窗、门斗、挑廊、走廊、檐廊；⑥层高&lt;2.2m，建筑物顶部有围护结构的楼梯间、水箱间、电梯机房；⑦有永久性顶盖无围护结构的车棚、货棚、站台、加油站、收费站；⑧层高&lt;2.2m的有围护结构的架空走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atLeas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其他计算全面积的图形实体</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122</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全面积。包括：①层高≥2.2m，建筑物外有围护结构的落地橱窗、门斗、挑廊、走廊、檐廊；②层高≥2.2m，建筑物顶部有围护结构的楼梯间、水箱间、电梯机房；③层高≥2.2m的门厅、大厅；④层高≥2.2m的有围护结构的架空走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268" w:hRule="atLeast"/>
        </w:trPr>
        <w:tc>
          <w:tcPr>
            <w:tcW w:w="8460"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 1、用于计算建筑面积的各类线应用多义线（Pline），不能采用二维多段线（SPline）表达，多段线自身的线段或节点不得重叠、交叉。</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2、不参与计算建筑面积的图形实体不得使用本标准采用的CAD颜色号。</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设有围护结构不垂直水平面而超出底板外沿的建筑层，按其底板面绘制分层轮廓线。坡屋顶和场馆看台，应在2.1米处和1.2米处分别水平截面轮廓线。以上情况实际的外围水平投影线用除本标准采用的颜色外的其他颜色绘制。</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设有结构层的书库、立体仓库、机械式车库，按结构层绘制分层轮廓线。室外建筑物，包括门斗、眺望间、观望电梯间、阳台、橱窗、挑廊、走廊、室外楼梯、车棚、货棚、站台、雨棚、走廊、檐廊、架空通廊等，应单独绘制轮廓线，分层及底层平面建筑轮廓线应扣除上述室外建筑物绘制。</w:t>
            </w:r>
            <w:r>
              <w:rPr>
                <w:rFonts w:hint="default" w:ascii="Times New Roman" w:hAnsi="Times New Roman" w:eastAsia="方正仿宋_GBK" w:cs="Times New Roman"/>
                <w:sz w:val="28"/>
                <w:szCs w:val="28"/>
              </w:rPr>
              <w:br w:type="page"/>
            </w:r>
          </w:p>
        </w:tc>
      </w:tr>
    </w:tbl>
    <w:p>
      <w:pPr>
        <w:rPr>
          <w:rFonts w:eastAsia="方正黑体_GBK"/>
          <w:sz w:val="32"/>
          <w:szCs w:val="32"/>
        </w:rPr>
      </w:pPr>
      <w:r>
        <w:rPr>
          <w:b/>
        </w:rPr>
        <w:br w:type="page"/>
      </w:r>
      <w:bookmarkStart w:id="0" w:name="OLE_LINK2"/>
      <w:bookmarkStart w:id="1" w:name="OLE_LINK1"/>
      <w:r>
        <w:rPr>
          <w:rFonts w:ascii="Times New Roman" w:hAnsi="Times New Roman" w:eastAsia="方正黑体_GBK" w:cs="Times New Roman"/>
          <w:sz w:val="32"/>
          <w:szCs w:val="32"/>
        </w:rPr>
        <w:t>表3</w:t>
      </w:r>
    </w:p>
    <w:p>
      <w:pPr>
        <w:jc w:val="center"/>
        <w:rPr>
          <w:rFonts w:hint="eastAsia" w:ascii="方正小标宋_GBK" w:hAnsi="方正小标宋_GBK" w:eastAsia="方正小标宋_GBK" w:cs="方正小标宋_GBK"/>
          <w:bCs/>
          <w:sz w:val="22"/>
          <w:szCs w:val="24"/>
        </w:rPr>
      </w:pPr>
      <w:r>
        <w:rPr>
          <w:rFonts w:hint="eastAsia" w:ascii="方正小标宋_GBK" w:hAnsi="方正小标宋_GBK" w:eastAsia="方正小标宋_GBK" w:cs="方正小标宋_GBK"/>
          <w:sz w:val="36"/>
          <w:szCs w:val="36"/>
        </w:rPr>
        <w:t>套内图形实体颜色标准</w:t>
      </w:r>
    </w:p>
    <w:bookmarkEnd w:id="0"/>
    <w:bookmarkEnd w:id="1"/>
    <w:tbl>
      <w:tblPr>
        <w:tblStyle w:val="6"/>
        <w:tblW w:w="8492"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5"/>
        <w:gridCol w:w="1519"/>
        <w:gridCol w:w="4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图形要素名</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图形要素CAD颜色号</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套内使用面积轮廓线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170</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闭合Pline线（按该户内墙线绘制其使用面积，轮廓线包含阳台、入户花园、空中院馆等）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阳台进深&gt;2.4米部分轮廓线   </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241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套内建筑面积轮廓线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223</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闭合Pline线（按该户墙体的中轴线进行绘制，轮廓线包含阳台、如入户花园等）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套内建筑轮廓线标注</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221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图形对应的单元号和房号文字标注，格式为 “单元号，房号”，无单元号的，仅标注房号。标注文字的插入点必须位于套内建筑轮廓线范围内。如：“1单元，5-1”。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跃层式住宅通高部分面积轮廓线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181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闭合Pline线（包含跃层式居住建筑门厅、起居室、餐厅等通高部分）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8492" w:type="dxa"/>
            <w:gridSpan w:val="3"/>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注：非跃层式住宅可不绘制“跃层式住宅通高部分面积轮廓线”。</w:t>
            </w:r>
          </w:p>
        </w:tc>
      </w:tr>
    </w:tbl>
    <w:p>
      <w:pPr>
        <w:widowControl/>
        <w:jc w:val="left"/>
        <w:sectPr>
          <w:type w:val="continuous"/>
          <w:pgSz w:w="11906" w:h="16838"/>
          <w:pgMar w:top="1440" w:right="1800" w:bottom="1440" w:left="1800" w:header="720" w:footer="1134" w:gutter="0"/>
          <w:cols w:space="720" w:num="1"/>
          <w:docGrid w:type="lines" w:linePitch="435" w:charSpace="0"/>
        </w:sectPr>
      </w:pPr>
    </w:p>
    <w:p>
      <w:pPr>
        <w:widowControl/>
        <w:jc w:val="left"/>
        <w:rPr>
          <w:rFonts w:ascii="Times New Roman" w:hAnsi="Times New Roman" w:eastAsia="方正黑体_GBK" w:cs="Times New Roman"/>
          <w:sz w:val="32"/>
          <w:szCs w:val="32"/>
        </w:rPr>
      </w:pPr>
      <w:r>
        <w:rPr>
          <w:szCs w:val="32"/>
        </w:rPr>
        <w:br w:type="page"/>
      </w:r>
      <w:r>
        <w:rPr>
          <w:rFonts w:ascii="Times New Roman" w:hAnsi="Times New Roman" w:eastAsia="方正黑体_GBK" w:cs="Times New Roman"/>
          <w:sz w:val="32"/>
          <w:szCs w:val="32"/>
        </w:rPr>
        <w:t>附件2</w:t>
      </w:r>
    </w:p>
    <w:p>
      <w:pPr>
        <w:ind w:firstLine="640"/>
      </w:pPr>
    </w:p>
    <w:p>
      <w:pPr>
        <w:jc w:val="center"/>
        <w:rPr>
          <w:rFonts w:eastAsia="方正小标宋_GBK"/>
          <w:sz w:val="44"/>
          <w:szCs w:val="56"/>
        </w:rPr>
      </w:pPr>
      <w:r>
        <w:rPr>
          <w:rFonts w:eastAsia="方正小标宋_GBK"/>
          <w:sz w:val="44"/>
          <w:szCs w:val="56"/>
        </w:rPr>
        <w:t>建设工程技术经济指标计算书</w:t>
      </w:r>
    </w:p>
    <w:p>
      <w:pPr>
        <w:ind w:firstLine="640"/>
      </w:pPr>
    </w:p>
    <w:p>
      <w:pPr>
        <w:spacing w:line="600" w:lineRule="exact"/>
        <w:ind w:firstLine="64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1、数据格式：采用</w:t>
      </w:r>
      <w:r>
        <w:rPr>
          <w:rFonts w:hint="default" w:ascii="Times New Roman" w:hAnsi="Times New Roman" w:eastAsia="方正仿宋_GBK" w:cs="Times New Roman"/>
          <w:sz w:val="32"/>
          <w:szCs w:val="32"/>
          <w:lang w:eastAsia="zh-CN"/>
        </w:rPr>
        <w:t>后缀名为</w:t>
      </w:r>
      <w:r>
        <w:rPr>
          <w:rFonts w:hint="default" w:ascii="Times New Roman" w:hAnsi="Times New Roman" w:eastAsia="方正仿宋_GBK" w:cs="Times New Roman"/>
          <w:sz w:val="32"/>
          <w:szCs w:val="32"/>
        </w:rPr>
        <w:t>xlsx</w:t>
      </w:r>
      <w:r>
        <w:rPr>
          <w:rFonts w:hint="default" w:ascii="Times New Roman" w:hAnsi="Times New Roman" w:eastAsia="方正仿宋_GBK" w:cs="Times New Roman"/>
          <w:sz w:val="32"/>
          <w:szCs w:val="32"/>
          <w:lang w:eastAsia="zh-CN"/>
        </w:rPr>
        <w:t>的</w:t>
      </w:r>
      <w:r>
        <w:rPr>
          <w:rFonts w:hint="default" w:ascii="Times New Roman" w:hAnsi="Times New Roman" w:eastAsia="方正仿宋_GBK" w:cs="Times New Roman"/>
          <w:sz w:val="32"/>
          <w:szCs w:val="32"/>
        </w:rPr>
        <w:t>文件。</w:t>
      </w:r>
    </w:p>
    <w:p>
      <w:pPr>
        <w:spacing w:line="600" w:lineRule="exact"/>
        <w:ind w:firstLine="64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2、计算单位：</w:t>
      </w:r>
      <w:r>
        <w:rPr>
          <w:rFonts w:hint="default" w:ascii="Times New Roman" w:hAnsi="Times New Roman" w:eastAsia="方正仿宋_GBK" w:cs="Times New Roman"/>
          <w:sz w:val="32"/>
          <w:szCs w:val="32"/>
          <w:lang w:eastAsia="zh-CN"/>
        </w:rPr>
        <w:t>建筑</w:t>
      </w:r>
      <w:r>
        <w:rPr>
          <w:rFonts w:hint="default" w:ascii="Times New Roman" w:hAnsi="Times New Roman" w:eastAsia="方正仿宋_GBK" w:cs="Times New Roman"/>
          <w:sz w:val="32"/>
          <w:szCs w:val="32"/>
        </w:rPr>
        <w:t>面积以平方米为计算单位，计算结果取小数点后2位。</w:t>
      </w:r>
    </w:p>
    <w:p>
      <w:pPr>
        <w:spacing w:line="600" w:lineRule="exact"/>
        <w:ind w:firstLine="641"/>
        <w:rPr>
          <w:sz w:val="32"/>
          <w:szCs w:val="32"/>
        </w:rPr>
      </w:pPr>
      <w:r>
        <w:rPr>
          <w:rFonts w:hint="default" w:ascii="Times New Roman" w:hAnsi="Times New Roman" w:eastAsia="方正仿宋_GBK" w:cs="Times New Roman"/>
          <w:sz w:val="32"/>
          <w:szCs w:val="32"/>
        </w:rPr>
        <w:t>3、电子文件应与报建文件对应一致。</w:t>
      </w:r>
    </w:p>
    <w:p>
      <w:pPr>
        <w:widowControl/>
        <w:jc w:val="left"/>
        <w:rPr>
          <w:sz w:val="32"/>
          <w:szCs w:val="32"/>
        </w:rPr>
        <w:sectPr>
          <w:type w:val="continuous"/>
          <w:pgSz w:w="11906" w:h="16838"/>
          <w:pgMar w:top="1440" w:right="1800" w:bottom="1440" w:left="1800" w:header="720" w:footer="1134" w:gutter="0"/>
          <w:cols w:space="720" w:num="1"/>
          <w:docGrid w:type="lines" w:linePitch="435" w:charSpace="0"/>
        </w:sectPr>
      </w:pPr>
    </w:p>
    <w:p>
      <w:pPr>
        <w:rPr>
          <w:sz w:val="32"/>
          <w:szCs w:val="32"/>
        </w:rPr>
      </w:pPr>
    </w:p>
    <w:p/>
    <w:p>
      <w:pPr>
        <w:widowControl/>
        <w:jc w:val="left"/>
      </w:pPr>
      <w:r>
        <w:br w:type="page"/>
      </w:r>
    </w:p>
    <w:p/>
    <w:p>
      <w:pPr>
        <w:pStyle w:val="2"/>
        <w:ind w:firstLine="640"/>
      </w:pPr>
    </w:p>
    <w:p>
      <w:pPr>
        <w:pStyle w:val="2"/>
        <w:ind w:firstLine="640"/>
      </w:pPr>
    </w:p>
    <w:p>
      <w:pPr>
        <w:pStyle w:val="2"/>
        <w:ind w:firstLine="640"/>
      </w:pPr>
    </w:p>
    <w:p>
      <w:pPr>
        <w:pStyle w:val="2"/>
        <w:ind w:firstLine="640"/>
      </w:pPr>
    </w:p>
    <w:p>
      <w:pPr>
        <w:adjustRightInd w:val="0"/>
        <w:snapToGrid w:val="0"/>
        <w:jc w:val="center"/>
        <w:rPr>
          <w:rFonts w:eastAsia="方正小标宋_GBK"/>
          <w:b/>
          <w:sz w:val="72"/>
          <w:szCs w:val="72"/>
        </w:rPr>
      </w:pPr>
      <w:r>
        <w:rPr>
          <w:rFonts w:eastAsia="方正小标宋_GBK"/>
          <w:b/>
          <w:sz w:val="72"/>
          <w:szCs w:val="72"/>
        </w:rPr>
        <w:t>建设工程</w:t>
      </w:r>
    </w:p>
    <w:p>
      <w:pPr>
        <w:adjustRightInd w:val="0"/>
        <w:snapToGrid w:val="0"/>
        <w:jc w:val="center"/>
        <w:rPr>
          <w:rFonts w:eastAsia="方正小标宋_GBK"/>
          <w:b/>
          <w:sz w:val="72"/>
          <w:szCs w:val="72"/>
        </w:rPr>
      </w:pPr>
      <w:r>
        <w:rPr>
          <w:rFonts w:eastAsia="方正小标宋_GBK"/>
          <w:b/>
          <w:sz w:val="72"/>
          <w:szCs w:val="72"/>
        </w:rPr>
        <w:t>技术经济指标计算书</w:t>
      </w:r>
    </w:p>
    <w:p>
      <w:pPr>
        <w:ind w:firstLine="640"/>
        <w:jc w:val="center"/>
      </w:pPr>
    </w:p>
    <w:p>
      <w:pPr>
        <w:ind w:firstLine="640"/>
        <w:jc w:val="center"/>
      </w:pPr>
    </w:p>
    <w:p>
      <w:pPr>
        <w:ind w:firstLine="640"/>
        <w:jc w:val="center"/>
      </w:pPr>
    </w:p>
    <w:p>
      <w:pPr>
        <w:ind w:firstLine="640"/>
        <w:jc w:val="center"/>
      </w:pPr>
    </w:p>
    <w:p>
      <w:pPr>
        <w:pStyle w:val="2"/>
        <w:ind w:firstLine="640"/>
      </w:pPr>
    </w:p>
    <w:p>
      <w:pPr>
        <w:pStyle w:val="2"/>
        <w:ind w:firstLine="640"/>
      </w:pPr>
    </w:p>
    <w:p>
      <w:pPr>
        <w:pStyle w:val="2"/>
        <w:ind w:firstLine="640"/>
      </w:pPr>
    </w:p>
    <w:p>
      <w:pPr>
        <w:pStyle w:val="2"/>
        <w:ind w:firstLine="640"/>
      </w:pPr>
    </w:p>
    <w:p>
      <w:pPr>
        <w:pStyle w:val="2"/>
        <w:ind w:firstLine="640"/>
        <w:rPr>
          <w:sz w:val="32"/>
          <w:szCs w:val="32"/>
        </w:rPr>
      </w:pPr>
    </w:p>
    <w:p>
      <w:pPr>
        <w:spacing w:line="560" w:lineRule="exact"/>
        <w:jc w:val="center"/>
        <w:rPr>
          <w:sz w:val="32"/>
          <w:szCs w:val="32"/>
        </w:rPr>
      </w:pPr>
      <w:r>
        <w:rPr>
          <w:sz w:val="32"/>
          <w:szCs w:val="32"/>
        </w:rPr>
        <w:t>建设单位：XXXXXX</w:t>
      </w:r>
    </w:p>
    <w:p>
      <w:pPr>
        <w:spacing w:line="560" w:lineRule="exact"/>
        <w:jc w:val="center"/>
        <w:rPr>
          <w:sz w:val="32"/>
          <w:szCs w:val="32"/>
        </w:rPr>
      </w:pPr>
      <w:r>
        <w:rPr>
          <w:sz w:val="32"/>
          <w:szCs w:val="32"/>
        </w:rPr>
        <w:t>项目名称：XXXXXX</w:t>
      </w:r>
    </w:p>
    <w:p>
      <w:pPr>
        <w:spacing w:line="560" w:lineRule="exact"/>
        <w:jc w:val="center"/>
        <w:rPr>
          <w:sz w:val="32"/>
          <w:szCs w:val="32"/>
        </w:rPr>
      </w:pPr>
      <w:r>
        <w:rPr>
          <w:sz w:val="32"/>
          <w:szCs w:val="32"/>
        </w:rPr>
        <w:t>设计单位：XXXXXX</w:t>
      </w:r>
    </w:p>
    <w:p>
      <w:pPr>
        <w:spacing w:line="560" w:lineRule="exact"/>
        <w:jc w:val="center"/>
        <w:rPr>
          <w:sz w:val="32"/>
          <w:szCs w:val="32"/>
        </w:rPr>
      </w:pPr>
      <w:r>
        <w:rPr>
          <w:sz w:val="32"/>
          <w:szCs w:val="32"/>
        </w:rPr>
        <w:t>时    间：XXXXXX</w:t>
      </w:r>
    </w:p>
    <w:p>
      <w:pPr>
        <w:widowControl/>
        <w:spacing w:line="560" w:lineRule="exact"/>
        <w:jc w:val="left"/>
        <w:sectPr>
          <w:type w:val="continuous"/>
          <w:pgSz w:w="11906" w:h="16838"/>
          <w:pgMar w:top="1440" w:right="1800" w:bottom="1440" w:left="1800" w:header="720" w:footer="1134" w:gutter="0"/>
          <w:cols w:space="720" w:num="1"/>
          <w:docGrid w:type="lines" w:linePitch="435" w:charSpace="0"/>
        </w:sectPr>
      </w:pPr>
    </w:p>
    <w:p>
      <w:pPr>
        <w:widowControl/>
        <w:jc w:val="left"/>
        <w:rPr>
          <w:sz w:val="32"/>
          <w:szCs w:val="32"/>
        </w:rPr>
      </w:pPr>
      <w:r>
        <w:rPr>
          <w:rFonts w:eastAsia="方正黑体_GBK"/>
          <w:bCs/>
          <w:szCs w:val="32"/>
        </w:rPr>
        <w:br w:type="page"/>
      </w:r>
      <w:r>
        <w:rPr>
          <w:rFonts w:eastAsia="方正黑体_GBK"/>
          <w:sz w:val="32"/>
          <w:szCs w:val="32"/>
        </w:rPr>
        <w:t>表一</w:t>
      </w:r>
    </w:p>
    <w:p>
      <w:pPr>
        <w:ind w:firstLine="643"/>
        <w:jc w:val="center"/>
      </w:pPr>
      <w:r>
        <w:rPr>
          <w:rFonts w:eastAsia="方正小标宋_GBK"/>
          <w:sz w:val="36"/>
          <w:szCs w:val="36"/>
        </w:rPr>
        <w:t>技术经济指标一览表（民用项目）</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9"/>
        <w:gridCol w:w="392"/>
        <w:gridCol w:w="2308"/>
        <w:gridCol w:w="2032"/>
        <w:gridCol w:w="215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项    目</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规划条件</w:t>
            </w: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设计数值</w:t>
            </w: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建设用地面积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居住户数</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
                <w:bCs/>
                <w:sz w:val="21"/>
                <w:szCs w:val="21"/>
              </w:rPr>
              <w:t>居住人口</w:t>
            </w:r>
            <w:r>
              <w:rPr>
                <w:rFonts w:ascii="Times New Roman" w:hAnsi="Times New Roman" w:cs="Times New Roman"/>
                <w:sz w:val="21"/>
                <w:szCs w:val="21"/>
              </w:rPr>
              <w:t>（注1）</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总建筑面积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Cs/>
                <w:sz w:val="21"/>
                <w:szCs w:val="21"/>
              </w:rPr>
              <w:t>其中</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sz w:val="21"/>
                <w:szCs w:val="21"/>
              </w:rPr>
              <w:t>地上建筑面积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b/>
                <w:bCs/>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sz w:val="21"/>
                <w:szCs w:val="21"/>
              </w:rPr>
              <w:t>地下建筑面积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1、住宅</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2、配套设施（注2）</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restart"/>
            <w:tcBorders>
              <w:top w:val="single" w:color="auto" w:sz="4" w:space="0"/>
              <w:left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r>
              <w:rPr>
                <w:rFonts w:ascii="Times New Roman" w:hAnsi="Times New Roman" w:cs="Times New Roman"/>
                <w:bCs/>
                <w:sz w:val="21"/>
                <w:szCs w:val="21"/>
              </w:rPr>
              <w:t>其中</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1）幼儿园</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2）社区组织工作用房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3）物管用房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ascii="Times New Roman" w:hAnsi="Times New Roman" w:cs="Times New Roman"/>
                <w:bCs/>
                <w:sz w:val="21"/>
                <w:szCs w:val="21"/>
              </w:rPr>
              <w:t>4）公厕</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hint="default" w:ascii="Times New Roman" w:hAnsi="Times New Roman" w:eastAsia="宋体" w:cs="Times New Roman"/>
                <w:bCs/>
                <w:sz w:val="21"/>
                <w:szCs w:val="21"/>
                <w:lang w:eastAsia="zh-CN"/>
              </w:rPr>
            </w:pPr>
            <w:r>
              <w:rPr>
                <w:rFonts w:ascii="Times New Roman" w:hAnsi="Times New Roman" w:cs="Times New Roman"/>
                <w:bCs/>
                <w:sz w:val="21"/>
                <w:szCs w:val="21"/>
              </w:rPr>
              <w:t>5）</w:t>
            </w:r>
            <w:r>
              <w:rPr>
                <w:rFonts w:hint="default" w:ascii="Times New Roman" w:hAnsi="Times New Roman" w:cs="Times New Roman"/>
                <w:bCs/>
                <w:sz w:val="21"/>
                <w:szCs w:val="21"/>
                <w:lang w:eastAsia="zh-CN"/>
              </w:rPr>
              <w:t>倒班楼（宿舍）</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tcBorders>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hint="default" w:ascii="Times New Roman" w:hAnsi="Times New Roman" w:cs="Times New Roman"/>
                <w:bCs/>
                <w:sz w:val="21"/>
                <w:szCs w:val="21"/>
                <w:lang w:val="en-US" w:eastAsia="zh-CN"/>
              </w:rPr>
              <w:t>6</w:t>
            </w:r>
            <w:r>
              <w:rPr>
                <w:rFonts w:ascii="Times New Roman" w:hAnsi="Times New Roman" w:cs="Times New Roman"/>
                <w:bCs/>
                <w:sz w:val="21"/>
                <w:szCs w:val="21"/>
              </w:rPr>
              <w:t>）……</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ascii="Times New Roman" w:hAnsi="Times New Roman" w:cs="Times New Roman"/>
                <w:sz w:val="21"/>
                <w:szCs w:val="21"/>
              </w:rPr>
              <w:t>3、公建（注3）</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4、车库及设备用房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5、其他（注4）</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b/>
                <w:sz w:val="21"/>
                <w:szCs w:val="21"/>
              </w:rPr>
              <w:t>总计容建筑面积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b/>
                <w:sz w:val="21"/>
                <w:szCs w:val="21"/>
              </w:rPr>
            </w:pPr>
            <w:r>
              <w:rPr>
                <w:rFonts w:ascii="Times New Roman" w:hAnsi="Times New Roman" w:cs="Times New Roman"/>
                <w:b/>
                <w:sz w:val="21"/>
                <w:szCs w:val="21"/>
              </w:rPr>
              <w:t>住宅建筑计容建筑面积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b/>
                <w:sz w:val="21"/>
                <w:szCs w:val="21"/>
              </w:rPr>
            </w:pPr>
            <w:r>
              <w:rPr>
                <w:rFonts w:ascii="Times New Roman" w:hAnsi="Times New Roman" w:cs="Times New Roman"/>
                <w:b/>
                <w:sz w:val="21"/>
                <w:szCs w:val="21"/>
              </w:rPr>
              <w:t>容积率</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建筑密度</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sz w:val="21"/>
                <w:szCs w:val="21"/>
              </w:rPr>
            </w:pPr>
            <w:r>
              <w:rPr>
                <w:rFonts w:ascii="Times New Roman" w:hAnsi="Times New Roman" w:cs="Times New Roman"/>
                <w:b/>
                <w:sz w:val="21"/>
                <w:szCs w:val="21"/>
              </w:rPr>
              <w:t>住宅建筑净密度</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sz w:val="21"/>
                <w:szCs w:val="21"/>
              </w:rPr>
            </w:pPr>
            <w:r>
              <w:rPr>
                <w:rFonts w:ascii="Times New Roman" w:hAnsi="Times New Roman" w:cs="Times New Roman"/>
                <w:b/>
                <w:sz w:val="21"/>
                <w:szCs w:val="21"/>
              </w:rPr>
              <w:t>配建体育设施用地面积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绿地率</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停车位</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r>
              <w:rPr>
                <w:rFonts w:ascii="Times New Roman" w:hAnsi="Times New Roman" w:cs="Times New Roman"/>
                <w:bCs/>
                <w:sz w:val="21"/>
                <w:szCs w:val="21"/>
              </w:rPr>
              <w:t>其中</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hint="default" w:ascii="Times New Roman" w:hAnsi="Times New Roman" w:cs="Times New Roman"/>
                <w:sz w:val="21"/>
                <w:szCs w:val="21"/>
              </w:rPr>
              <w:t>①</w:t>
            </w:r>
            <w:r>
              <w:rPr>
                <w:rFonts w:ascii="Times New Roman" w:hAnsi="Times New Roman" w:cs="Times New Roman"/>
                <w:sz w:val="21"/>
                <w:szCs w:val="21"/>
              </w:rPr>
              <w:t>室外</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hint="default" w:ascii="Times New Roman" w:hAnsi="Times New Roman" w:cs="Times New Roman"/>
                <w:sz w:val="21"/>
                <w:szCs w:val="21"/>
              </w:rPr>
              <w:t>②</w:t>
            </w:r>
            <w:r>
              <w:rPr>
                <w:rFonts w:ascii="Times New Roman" w:hAnsi="Times New Roman" w:cs="Times New Roman"/>
                <w:sz w:val="21"/>
                <w:szCs w:val="21"/>
              </w:rPr>
              <w:t>室内</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注：1、居住人口一般每户按3.2人计算，公租房按《公共租赁房设计标准》（DBJ50/T-133-2011）执行。</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2、配套设施是指按国家相关规定和《建设用地规划许可证》要求配置的公共设施及配套用房。表中各项可根据本项目规划实际要求自行增减。</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3、公共建筑（不含配套设施）是指商业、商务办公、科研及其他可供人们进行各种公共活动的建筑，按照房屋用途分类表进行分类。</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4、不属于住宅、公建、配套设施、车库、设备用房等功能的，如架空层、转换层等其他建筑功能列入“其他”栏。</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5、体育设施用地配建标准为：每户1.5平方米。</w:t>
            </w:r>
          </w:p>
        </w:tc>
      </w:tr>
    </w:tbl>
    <w:p>
      <w:pPr>
        <w:pStyle w:val="2"/>
        <w:spacing w:line="600" w:lineRule="exact"/>
        <w:ind w:firstLine="0"/>
        <w:rPr>
          <w:rFonts w:hint="eastAsia" w:eastAsia="方正黑体_GBK"/>
          <w:sz w:val="32"/>
          <w:szCs w:val="32"/>
        </w:rPr>
      </w:pPr>
      <w:r>
        <w:rPr>
          <w:rFonts w:eastAsia="方正黑体_GBK"/>
          <w:sz w:val="32"/>
          <w:szCs w:val="32"/>
        </w:rPr>
        <w:t>表</w:t>
      </w:r>
      <w:r>
        <w:rPr>
          <w:rFonts w:hint="eastAsia" w:eastAsia="方正黑体_GBK"/>
          <w:sz w:val="32"/>
          <w:szCs w:val="32"/>
        </w:rPr>
        <w:t>一</w:t>
      </w:r>
    </w:p>
    <w:p>
      <w:pPr>
        <w:spacing w:line="600" w:lineRule="exact"/>
        <w:ind w:firstLine="640"/>
        <w:jc w:val="center"/>
        <w:rPr>
          <w:rFonts w:eastAsia="方正小标宋_GBK"/>
          <w:sz w:val="36"/>
          <w:szCs w:val="36"/>
        </w:rPr>
      </w:pPr>
      <w:r>
        <w:rPr>
          <w:rFonts w:eastAsia="方正小标宋_GBK"/>
          <w:sz w:val="36"/>
          <w:szCs w:val="36"/>
        </w:rPr>
        <w:t>技术经济指标一览表（工业</w:t>
      </w:r>
      <w:r>
        <w:rPr>
          <w:rFonts w:eastAsia="方正小标宋_GBK"/>
          <w:color w:val="000000"/>
          <w:sz w:val="36"/>
          <w:szCs w:val="36"/>
        </w:rPr>
        <w:t>项目</w:t>
      </w:r>
      <w:r>
        <w:rPr>
          <w:rFonts w:eastAsia="方正小标宋_GBK"/>
          <w:sz w:val="36"/>
          <w:szCs w:val="36"/>
        </w:rPr>
        <w:t>）</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74"/>
        <w:gridCol w:w="364"/>
        <w:gridCol w:w="2380"/>
        <w:gridCol w:w="2030"/>
        <w:gridCol w:w="2161"/>
        <w:gridCol w:w="1121"/>
        <w:tblGridChange w:id="1">
          <w:tblGrid>
            <w:gridCol w:w="374"/>
            <w:gridCol w:w="364"/>
            <w:gridCol w:w="2380"/>
            <w:gridCol w:w="2030"/>
            <w:gridCol w:w="2161"/>
            <w:gridCol w:w="112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0" w:hRule="atLeast"/>
        </w:trPr>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项    目</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规划条件</w:t>
            </w: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设计数值</w:t>
            </w: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建设用地面积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总建筑面积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vertAlign w:val="superscript"/>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Cs/>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sz w:val="24"/>
              </w:rPr>
              <w:t>地上建筑面积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bCs/>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sz w:val="24"/>
              </w:rPr>
              <w:t>地下建筑面积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restart"/>
            <w:tcBorders>
              <w:top w:val="single" w:color="auto" w:sz="4" w:space="0"/>
              <w:left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1、工业建筑（注1）</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2、配套设施（注2）</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bCs/>
                <w:sz w:val="24"/>
              </w:rPr>
              <w:t>1）办公</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hint="default" w:ascii="Times New Roman" w:hAnsi="Times New Roman" w:eastAsia="宋体" w:cs="Times New Roman"/>
                <w:sz w:val="24"/>
                <w:lang w:val="en-US" w:eastAsia="zh-CN"/>
              </w:rPr>
            </w:pPr>
            <w:r>
              <w:rPr>
                <w:rFonts w:ascii="Times New Roman" w:hAnsi="Times New Roman" w:cs="Times New Roman"/>
                <w:bCs/>
                <w:sz w:val="24"/>
              </w:rPr>
              <w:t>2）倒班楼</w:t>
            </w:r>
            <w:r>
              <w:rPr>
                <w:rFonts w:hint="default" w:ascii="Times New Roman" w:hAnsi="Times New Roman" w:cs="Times New Roman"/>
                <w:bCs/>
                <w:sz w:val="24"/>
                <w:lang w:eastAsia="zh-CN"/>
              </w:rPr>
              <w:t>（宿舍）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bCs/>
                <w:sz w:val="24"/>
              </w:rPr>
              <w:t>3）食堂</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Cs/>
                <w:sz w:val="24"/>
              </w:rPr>
            </w:pPr>
            <w:r>
              <w:rPr>
                <w:rFonts w:ascii="Times New Roman" w:hAnsi="Times New Roman" w:cs="Times New Roman"/>
                <w:bCs/>
                <w:sz w:val="24"/>
              </w:rPr>
              <w:t>4）公厕</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Cs/>
                <w:sz w:val="24"/>
              </w:rPr>
            </w:pPr>
            <w:r>
              <w:rPr>
                <w:rFonts w:ascii="Times New Roman" w:hAnsi="Times New Roman" w:cs="Times New Roman"/>
                <w:bCs/>
                <w:sz w:val="24"/>
              </w:rPr>
              <w:t>5）……</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3、库房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4、车库及设备用房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adjustRightInd w:val="0"/>
              <w:spacing w:line="400" w:lineRule="exact"/>
              <w:jc w:val="righ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5、其他（注3）</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b/>
                <w:sz w:val="24"/>
              </w:rPr>
              <w:t>总计容建筑面积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b/>
                <w:sz w:val="24"/>
              </w:rPr>
            </w:pPr>
            <w:r>
              <w:rPr>
                <w:rFonts w:ascii="Times New Roman" w:hAnsi="Times New Roman" w:cs="Times New Roman"/>
                <w:b/>
                <w:sz w:val="24"/>
              </w:rPr>
              <w:t>容积率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建筑密度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配套</w:t>
            </w:r>
            <w:r>
              <w:rPr>
                <w:rFonts w:ascii="Times New Roman" w:hAnsi="Times New Roman" w:cs="Times New Roman"/>
                <w:b/>
                <w:sz w:val="24"/>
              </w:rPr>
              <w:t>用房</w:t>
            </w:r>
            <w:r>
              <w:rPr>
                <w:rFonts w:ascii="Times New Roman" w:hAnsi="Times New Roman" w:cs="Times New Roman"/>
                <w:b/>
                <w:bCs/>
                <w:sz w:val="24"/>
              </w:rPr>
              <w:t>占地比例</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绿地率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停车位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hint="default" w:ascii="Times New Roman" w:hAnsi="Times New Roman" w:cs="Times New Roman"/>
                <w:sz w:val="24"/>
              </w:rPr>
              <w:t>①</w:t>
            </w:r>
            <w:r>
              <w:rPr>
                <w:rFonts w:ascii="Times New Roman" w:hAnsi="Times New Roman" w:cs="Times New Roman"/>
                <w:sz w:val="24"/>
              </w:rPr>
              <w:t>室外</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hint="default" w:ascii="Times New Roman" w:hAnsi="Times New Roman" w:cs="Times New Roman"/>
                <w:sz w:val="24"/>
              </w:rPr>
              <w:t>②</w:t>
            </w:r>
            <w:r>
              <w:rPr>
                <w:rFonts w:ascii="Times New Roman" w:hAnsi="Times New Roman" w:cs="Times New Roman"/>
                <w:sz w:val="24"/>
              </w:rPr>
              <w:t>室内</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sz w:val="24"/>
              </w:rPr>
            </w:pPr>
            <w:r>
              <w:rPr>
                <w:rFonts w:ascii="Times New Roman" w:hAnsi="Times New Roman" w:cs="Times New Roman"/>
                <w:b/>
                <w:sz w:val="24"/>
              </w:rPr>
              <w:t>建筑高度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left"/>
              <w:rPr>
                <w:rFonts w:ascii="Times New Roman" w:hAnsi="Times New Roman" w:cs="Times New Roman"/>
                <w:sz w:val="24"/>
              </w:rPr>
            </w:pPr>
            <w:r>
              <w:rPr>
                <w:rFonts w:ascii="Times New Roman" w:hAnsi="Times New Roman" w:cs="Times New Roman"/>
                <w:sz w:val="24"/>
              </w:rPr>
              <w:t>注：1、厂房、</w:t>
            </w:r>
            <w:r>
              <w:rPr>
                <w:rFonts w:ascii="Times New Roman" w:hAnsi="Times New Roman" w:cs="Times New Roman"/>
                <w:sz w:val="24"/>
              </w:rPr>
              <w:t>生产</w:t>
            </w:r>
            <w:r>
              <w:rPr>
                <w:rFonts w:ascii="Times New Roman" w:hAnsi="Times New Roman" w:cs="Times New Roman"/>
                <w:sz w:val="24"/>
              </w:rPr>
              <w:t>车间等列入工业建筑面积类别。</w:t>
            </w:r>
          </w:p>
          <w:p>
            <w:pPr>
              <w:adjustRightInd w:val="0"/>
              <w:spacing w:line="400" w:lineRule="exact"/>
              <w:ind w:firstLine="480"/>
              <w:jc w:val="left"/>
              <w:rPr>
                <w:rFonts w:ascii="Times New Roman" w:hAnsi="Times New Roman" w:cs="Times New Roman"/>
                <w:sz w:val="24"/>
              </w:rPr>
            </w:pPr>
            <w:r>
              <w:rPr>
                <w:rFonts w:ascii="Times New Roman" w:hAnsi="Times New Roman" w:cs="Times New Roman"/>
                <w:sz w:val="24"/>
              </w:rPr>
              <w:t>2、工业项目的办公（研发车间）、倒班楼（宿舍）、食堂、公厕等列入配套设施，表中各项可根据本项目规划实际要求配施自行增减。</w:t>
            </w:r>
          </w:p>
          <w:p>
            <w:pPr>
              <w:adjustRightInd w:val="0"/>
              <w:spacing w:line="400" w:lineRule="exact"/>
              <w:ind w:firstLine="480"/>
              <w:jc w:val="left"/>
              <w:rPr>
                <w:rFonts w:ascii="Times New Roman" w:hAnsi="Times New Roman" w:cs="Times New Roman"/>
                <w:sz w:val="24"/>
              </w:rPr>
            </w:pPr>
            <w:r>
              <w:rPr>
                <w:rFonts w:ascii="Times New Roman" w:hAnsi="Times New Roman" w:cs="Times New Roman"/>
                <w:sz w:val="24"/>
              </w:rPr>
              <w:t>3、不属于工业、配套设施、</w:t>
            </w:r>
            <w:r>
              <w:rPr>
                <w:rFonts w:hint="default" w:ascii="Times New Roman" w:hAnsi="Times New Roman" w:cs="Times New Roman"/>
                <w:sz w:val="24"/>
                <w:lang w:eastAsia="zh-CN"/>
              </w:rPr>
              <w:t>库房、</w:t>
            </w:r>
            <w:r>
              <w:rPr>
                <w:rFonts w:ascii="Times New Roman" w:hAnsi="Times New Roman" w:cs="Times New Roman"/>
                <w:sz w:val="24"/>
              </w:rPr>
              <w:t>车库</w:t>
            </w:r>
            <w:r>
              <w:rPr>
                <w:rFonts w:hint="default" w:ascii="Times New Roman" w:hAnsi="Times New Roman" w:cs="Times New Roman"/>
                <w:sz w:val="24"/>
                <w:lang w:eastAsia="zh-CN"/>
              </w:rPr>
              <w:t>及</w:t>
            </w:r>
            <w:r>
              <w:rPr>
                <w:rFonts w:ascii="Times New Roman" w:hAnsi="Times New Roman" w:cs="Times New Roman"/>
                <w:sz w:val="24"/>
              </w:rPr>
              <w:t>设备用房等功能的，如架空层、转换层等其他功能列入“其他”功能类栏。</w:t>
            </w:r>
          </w:p>
        </w:tc>
      </w:tr>
    </w:tbl>
    <w:p>
      <w:pPr>
        <w:spacing w:line="600" w:lineRule="exact"/>
        <w:rPr>
          <w:rFonts w:eastAsia="方正黑体_GBK"/>
          <w:sz w:val="32"/>
          <w:szCs w:val="32"/>
        </w:rPr>
      </w:pPr>
    </w:p>
    <w:p>
      <w:pPr>
        <w:spacing w:line="600" w:lineRule="exact"/>
        <w:rPr>
          <w:rFonts w:hint="eastAsia" w:eastAsia="方正黑体_GBK"/>
          <w:sz w:val="32"/>
          <w:szCs w:val="32"/>
        </w:rPr>
      </w:pPr>
      <w:r>
        <w:rPr>
          <w:rFonts w:eastAsia="方正黑体_GBK"/>
          <w:sz w:val="32"/>
          <w:szCs w:val="32"/>
        </w:rPr>
        <w:t>表</w:t>
      </w:r>
      <w:r>
        <w:rPr>
          <w:rFonts w:hint="eastAsia" w:eastAsia="方正黑体_GBK"/>
          <w:sz w:val="32"/>
          <w:szCs w:val="32"/>
        </w:rPr>
        <w:t>一</w:t>
      </w:r>
    </w:p>
    <w:p>
      <w:pPr>
        <w:spacing w:line="600" w:lineRule="exact"/>
        <w:ind w:firstLine="640"/>
        <w:jc w:val="center"/>
        <w:rPr>
          <w:rFonts w:eastAsia="方正小标宋_GBK"/>
          <w:sz w:val="36"/>
          <w:szCs w:val="36"/>
        </w:rPr>
      </w:pPr>
      <w:r>
        <w:rPr>
          <w:rFonts w:eastAsia="方正小标宋_GBK"/>
          <w:sz w:val="36"/>
          <w:szCs w:val="36"/>
        </w:rPr>
        <w:t>技术经济指标一览表（</w:t>
      </w:r>
      <w:r>
        <w:rPr>
          <w:rFonts w:eastAsia="方正小标宋_GBK"/>
          <w:color w:val="000000"/>
          <w:sz w:val="36"/>
          <w:szCs w:val="36"/>
        </w:rPr>
        <w:t>仓储项目</w:t>
      </w:r>
      <w:r>
        <w:rPr>
          <w:rFonts w:eastAsia="方正小标宋_GBK"/>
          <w:sz w:val="36"/>
          <w:szCs w:val="36"/>
        </w:rPr>
        <w:t>）</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374"/>
        <w:gridCol w:w="364"/>
        <w:gridCol w:w="2380"/>
        <w:gridCol w:w="2030"/>
        <w:gridCol w:w="216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项    目</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规划条件</w:t>
            </w: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设计数值</w:t>
            </w: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建设用地面积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总建筑面积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vertAlign w:val="superscript"/>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Cs/>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地上建筑面积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地下建筑面积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restart"/>
            <w:tcBorders>
              <w:top w:val="single" w:color="auto" w:sz="4" w:space="0"/>
              <w:left w:val="single" w:color="auto" w:sz="4" w:space="0"/>
              <w:right w:val="single" w:color="auto" w:sz="4" w:space="0"/>
            </w:tcBorders>
            <w:vAlign w:val="center"/>
          </w:tcPr>
          <w:p>
            <w:pPr>
              <w:adjustRightInd w:val="0"/>
              <w:jc w:val="center"/>
              <w:rPr>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sz w:val="24"/>
              </w:rPr>
              <w:t>1、</w:t>
            </w:r>
            <w:r>
              <w:rPr>
                <w:rFonts w:hint="eastAsia"/>
                <w:sz w:val="24"/>
              </w:rPr>
              <w:t>仓储</w:t>
            </w:r>
            <w:r>
              <w:rPr>
                <w:sz w:val="24"/>
              </w:rPr>
              <w:t>建筑（注1）</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sz w:val="24"/>
              </w:rPr>
              <w:t>2、配套设施（注2）</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r>
              <w:rPr>
                <w:bCs/>
                <w:sz w:val="24"/>
              </w:rPr>
              <w:t>其中</w:t>
            </w: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sz w:val="24"/>
              </w:rPr>
            </w:pPr>
            <w:r>
              <w:rPr>
                <w:bCs/>
                <w:sz w:val="24"/>
              </w:rPr>
              <w:t>1）办公</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eastAsia="宋体"/>
                <w:sz w:val="24"/>
                <w:lang w:eastAsia="zh-CN"/>
              </w:rPr>
            </w:pPr>
            <w:r>
              <w:rPr>
                <w:bCs/>
                <w:sz w:val="24"/>
              </w:rPr>
              <w:t>2）倒班楼</w:t>
            </w:r>
            <w:r>
              <w:rPr>
                <w:rFonts w:hint="eastAsia"/>
                <w:bCs/>
                <w:sz w:val="24"/>
                <w:lang w:eastAsia="zh-CN"/>
              </w:rPr>
              <w:t>（宿舍）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sz w:val="24"/>
              </w:rPr>
            </w:pPr>
            <w:r>
              <w:rPr>
                <w:bCs/>
                <w:sz w:val="24"/>
              </w:rPr>
              <w:t>3）食堂</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bCs/>
                <w:sz w:val="24"/>
              </w:rPr>
            </w:pPr>
            <w:r>
              <w:rPr>
                <w:bCs/>
                <w:sz w:val="24"/>
              </w:rPr>
              <w:t>4）公厕</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bCs/>
                <w:sz w:val="24"/>
              </w:rPr>
            </w:pPr>
            <w:r>
              <w:rPr>
                <w:bCs/>
                <w:sz w:val="24"/>
              </w:rPr>
              <w:t>5）……</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sz w:val="24"/>
              </w:rPr>
              <w:t>3</w:t>
            </w:r>
            <w:r>
              <w:rPr>
                <w:sz w:val="24"/>
              </w:rPr>
              <w:t>、车库及设备用房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left w:val="single" w:color="auto" w:sz="4" w:space="0"/>
              <w:right w:val="single" w:color="auto" w:sz="4" w:space="0"/>
            </w:tcBorders>
            <w:vAlign w:val="center"/>
          </w:tcPr>
          <w:p>
            <w:pPr>
              <w:adjustRightInd w:val="0"/>
              <w:jc w:val="righ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sz w:val="24"/>
              </w:rPr>
              <w:t>4</w:t>
            </w:r>
            <w:r>
              <w:rPr>
                <w:sz w:val="24"/>
              </w:rPr>
              <w:t>、其他（注3）</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rPr>
                <w:sz w:val="24"/>
              </w:rPr>
            </w:pPr>
            <w:r>
              <w:rPr>
                <w:b/>
                <w:sz w:val="24"/>
              </w:rPr>
              <w:t>总计容建筑面积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rPr>
                <w:b/>
                <w:sz w:val="24"/>
              </w:rPr>
            </w:pPr>
            <w:r>
              <w:rPr>
                <w:b/>
                <w:sz w:val="24"/>
              </w:rPr>
              <w:t>容积率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建筑密度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配套</w:t>
            </w:r>
            <w:r>
              <w:rPr>
                <w:b/>
                <w:sz w:val="24"/>
              </w:rPr>
              <w:t>用房</w:t>
            </w:r>
            <w:r>
              <w:rPr>
                <w:b/>
                <w:bCs/>
                <w:sz w:val="24"/>
              </w:rPr>
              <w:t>占地比例</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绿地率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停车位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ascii="宋体" w:hAnsi="宋体"/>
                <w:sz w:val="24"/>
              </w:rPr>
              <w:t>①</w:t>
            </w:r>
            <w:r>
              <w:rPr>
                <w:sz w:val="24"/>
              </w:rPr>
              <w:t>室外</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ascii="宋体" w:hAnsi="宋体"/>
                <w:sz w:val="24"/>
              </w:rPr>
              <w:t>②</w:t>
            </w:r>
            <w:r>
              <w:rPr>
                <w:sz w:val="24"/>
              </w:rPr>
              <w:t>室内</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sz w:val="24"/>
              </w:rPr>
            </w:pPr>
            <w:r>
              <w:rPr>
                <w:b/>
                <w:sz w:val="24"/>
              </w:rPr>
              <w:t>建筑高度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sz w:val="24"/>
              </w:rPr>
            </w:pPr>
            <w:r>
              <w:rPr>
                <w:sz w:val="24"/>
              </w:rPr>
              <w:t>注：1、</w:t>
            </w:r>
            <w:r>
              <w:rPr>
                <w:rFonts w:hint="eastAsia"/>
                <w:sz w:val="24"/>
              </w:rPr>
              <w:t>仓储及配套的辅助生产用房等</w:t>
            </w:r>
            <w:r>
              <w:rPr>
                <w:sz w:val="24"/>
              </w:rPr>
              <w:t>列入</w:t>
            </w:r>
            <w:r>
              <w:rPr>
                <w:rFonts w:hint="eastAsia"/>
                <w:sz w:val="24"/>
              </w:rPr>
              <w:t>仓储</w:t>
            </w:r>
            <w:r>
              <w:rPr>
                <w:sz w:val="24"/>
              </w:rPr>
              <w:t>建筑面积类别。</w:t>
            </w:r>
          </w:p>
          <w:p>
            <w:pPr>
              <w:adjustRightInd w:val="0"/>
              <w:spacing w:line="400" w:lineRule="exact"/>
              <w:ind w:firstLine="480"/>
              <w:rPr>
                <w:sz w:val="24"/>
              </w:rPr>
            </w:pPr>
            <w:r>
              <w:rPr>
                <w:sz w:val="24"/>
              </w:rPr>
              <w:t>2、</w:t>
            </w:r>
            <w:r>
              <w:rPr>
                <w:rFonts w:hint="eastAsia"/>
                <w:sz w:val="24"/>
              </w:rPr>
              <w:t>仓储</w:t>
            </w:r>
            <w:r>
              <w:rPr>
                <w:sz w:val="24"/>
              </w:rPr>
              <w:t>项目的办公、倒班楼（宿舍）、食堂、公厕等列入配套设施，表中各项可根据本项目规划实际要求配施自行增减。</w:t>
            </w:r>
          </w:p>
          <w:p>
            <w:pPr>
              <w:adjustRightInd w:val="0"/>
              <w:spacing w:line="400" w:lineRule="exact"/>
              <w:ind w:firstLine="480"/>
              <w:rPr>
                <w:sz w:val="24"/>
              </w:rPr>
            </w:pPr>
            <w:r>
              <w:rPr>
                <w:sz w:val="24"/>
              </w:rPr>
              <w:t>3、不属于</w:t>
            </w:r>
            <w:r>
              <w:rPr>
                <w:rFonts w:hint="eastAsia"/>
                <w:sz w:val="24"/>
              </w:rPr>
              <w:t>仓储</w:t>
            </w:r>
            <w:r>
              <w:rPr>
                <w:sz w:val="24"/>
              </w:rPr>
              <w:t>、配套设施、车库</w:t>
            </w:r>
            <w:r>
              <w:rPr>
                <w:rFonts w:hint="eastAsia"/>
                <w:sz w:val="24"/>
                <w:lang w:eastAsia="zh-CN"/>
              </w:rPr>
              <w:t>及</w:t>
            </w:r>
            <w:r>
              <w:rPr>
                <w:sz w:val="24"/>
              </w:rPr>
              <w:t>设备用房等功能的，如架空层、转换层等其他功能列入“其他”功能类栏。</w:t>
            </w:r>
          </w:p>
        </w:tc>
      </w:tr>
    </w:tbl>
    <w:p>
      <w:pPr>
        <w:widowControl/>
        <w:jc w:val="left"/>
        <w:rPr>
          <w:sz w:val="24"/>
        </w:rPr>
        <w:sectPr>
          <w:type w:val="continuous"/>
          <w:pgSz w:w="11906" w:h="16838"/>
          <w:pgMar w:top="1440" w:right="1800" w:bottom="1440" w:left="1800" w:header="720" w:footer="1134" w:gutter="0"/>
          <w:cols w:space="720" w:num="1"/>
          <w:docGrid w:type="lines" w:linePitch="435" w:charSpace="0"/>
        </w:sectPr>
      </w:pPr>
    </w:p>
    <w:p>
      <w:pPr>
        <w:snapToGrid w:val="0"/>
        <w:rPr>
          <w:rFonts w:eastAsia="方正黑体_GBK"/>
          <w:bCs/>
          <w:sz w:val="32"/>
          <w:szCs w:val="32"/>
        </w:rPr>
      </w:pPr>
      <w:r>
        <w:rPr>
          <w:rFonts w:eastAsia="方正黑体_GBK"/>
          <w:bCs/>
          <w:sz w:val="32"/>
          <w:szCs w:val="32"/>
        </w:rPr>
        <w:t>表二</w:t>
      </w:r>
    </w:p>
    <w:p>
      <w:pPr>
        <w:pStyle w:val="3"/>
        <w:rPr>
          <w:highlight w:val="none"/>
        </w:rPr>
      </w:pPr>
      <w:r>
        <w:rPr>
          <w:rFonts w:eastAsia="方正小标宋_GBK"/>
          <w:b w:val="0"/>
          <w:bCs/>
          <w:sz w:val="36"/>
          <w:szCs w:val="36"/>
          <w:highlight w:val="none"/>
        </w:rPr>
        <w:t>建筑面积及计容建筑面积明细表</w:t>
      </w:r>
    </w:p>
    <w:p>
      <w:pPr>
        <w:pStyle w:val="2"/>
        <w:spacing w:after="0"/>
        <w:ind w:firstLine="440"/>
        <w:jc w:val="right"/>
        <w:rPr>
          <w:sz w:val="22"/>
        </w:rPr>
      </w:pPr>
      <w:r>
        <w:rPr>
          <w:sz w:val="22"/>
        </w:rPr>
        <w:t>面积单位：平方米  长度单位：米</w:t>
      </w:r>
    </w:p>
    <w:tbl>
      <w:tblPr>
        <w:tblStyle w:val="6"/>
        <w:tblW w:w="4950" w:type="pct"/>
        <w:tblInd w:w="-51" w:type="dxa"/>
        <w:tblLayout w:type="fixed"/>
        <w:tblCellMar>
          <w:top w:w="0" w:type="dxa"/>
          <w:left w:w="57" w:type="dxa"/>
          <w:bottom w:w="0" w:type="dxa"/>
          <w:right w:w="57" w:type="dxa"/>
        </w:tblCellMar>
      </w:tblPr>
      <w:tblGrid>
        <w:gridCol w:w="696"/>
        <w:gridCol w:w="701"/>
        <w:gridCol w:w="628"/>
        <w:gridCol w:w="516"/>
        <w:gridCol w:w="517"/>
        <w:gridCol w:w="532"/>
        <w:gridCol w:w="679"/>
        <w:gridCol w:w="612"/>
        <w:gridCol w:w="612"/>
        <w:gridCol w:w="624"/>
        <w:gridCol w:w="612"/>
        <w:gridCol w:w="624"/>
        <w:gridCol w:w="612"/>
        <w:gridCol w:w="624"/>
        <w:gridCol w:w="612"/>
        <w:gridCol w:w="624"/>
        <w:gridCol w:w="612"/>
        <w:gridCol w:w="624"/>
        <w:gridCol w:w="684"/>
        <w:gridCol w:w="716"/>
        <w:gridCol w:w="843"/>
        <w:gridCol w:w="627"/>
      </w:tblGrid>
      <w:tr>
        <w:tblPrEx>
          <w:tblCellMar>
            <w:top w:w="0" w:type="dxa"/>
            <w:left w:w="57" w:type="dxa"/>
            <w:bottom w:w="0" w:type="dxa"/>
            <w:right w:w="57" w:type="dxa"/>
          </w:tblCellMar>
        </w:tblPrEx>
        <w:trPr>
          <w:trHeight w:val="315"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栋号</w:t>
            </w: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部位</w:t>
            </w:r>
          </w:p>
        </w:tc>
        <w:tc>
          <w:tcPr>
            <w:tcW w:w="64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w:t>
            </w:r>
          </w:p>
        </w:tc>
        <w:tc>
          <w:tcPr>
            <w:tcW w:w="52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层高</w:t>
            </w:r>
          </w:p>
        </w:tc>
        <w:tc>
          <w:tcPr>
            <w:tcW w:w="52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数</w:t>
            </w:r>
          </w:p>
        </w:tc>
        <w:tc>
          <w:tcPr>
            <w:tcW w:w="54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每层户数</w:t>
            </w:r>
          </w:p>
        </w:tc>
        <w:tc>
          <w:tcPr>
            <w:tcW w:w="69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楼层建筑面积</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楼层计容建筑面积</w:t>
            </w:r>
          </w:p>
        </w:tc>
        <w:tc>
          <w:tcPr>
            <w:tcW w:w="7704" w:type="dxa"/>
            <w:gridSpan w:val="1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分类</w:t>
            </w:r>
          </w:p>
        </w:tc>
        <w:tc>
          <w:tcPr>
            <w:tcW w:w="858"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停车位（个）</w:t>
            </w:r>
          </w:p>
        </w:tc>
        <w:tc>
          <w:tcPr>
            <w:tcW w:w="637"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备注</w:t>
            </w:r>
          </w:p>
        </w:tc>
      </w:tr>
      <w:tr>
        <w:tblPrEx>
          <w:tblCellMar>
            <w:top w:w="0" w:type="dxa"/>
            <w:left w:w="57" w:type="dxa"/>
            <w:bottom w:w="0" w:type="dxa"/>
            <w:right w:w="57" w:type="dxa"/>
          </w:tblCellMar>
        </w:tblPrEx>
        <w:trPr>
          <w:trHeight w:val="155"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住 宅</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公 建</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配套设施</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工 业</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车库及设备</w:t>
            </w:r>
          </w:p>
        </w:tc>
        <w:tc>
          <w:tcPr>
            <w:tcW w:w="14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其 他</w:t>
            </w:r>
          </w:p>
        </w:tc>
        <w:tc>
          <w:tcPr>
            <w:tcW w:w="8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3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r>
      <w:tr>
        <w:tblPrEx>
          <w:tblCellMar>
            <w:top w:w="0" w:type="dxa"/>
            <w:left w:w="57" w:type="dxa"/>
            <w:bottom w:w="0" w:type="dxa"/>
            <w:right w:w="57" w:type="dxa"/>
          </w:tblCellMar>
        </w:tblPrEx>
        <w:trPr>
          <w:trHeight w:val="484"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8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3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r>
      <w:tr>
        <w:tblPrEx>
          <w:tblCellMar>
            <w:top w:w="0" w:type="dxa"/>
            <w:left w:w="57" w:type="dxa"/>
            <w:bottom w:w="0" w:type="dxa"/>
            <w:right w:w="57" w:type="dxa"/>
          </w:tblCellMar>
        </w:tblPrEx>
        <w:trPr>
          <w:trHeight w:val="183"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塔楼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3-10</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85"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裙楼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5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车库</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1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3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1354"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小计</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154</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塔楼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裙楼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4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车库</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8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1354"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小计</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总计</w:t>
            </w:r>
          </w:p>
        </w:tc>
        <w:tc>
          <w:tcPr>
            <w:tcW w:w="714"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83" w:hRule="atLeast"/>
        </w:trPr>
        <w:tc>
          <w:tcPr>
            <w:tcW w:w="14165" w:type="dxa"/>
            <w:gridSpan w:val="2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注：1、表格根据指标核算情况，分栋、分楼层、分功能填写，一般每层填写一行。同一栋号中功能、面积、层高相同的楼层可合并填写，并在“楼层”栏注明所包含层数。</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2、“楼层”栏的填写均以规划许可证附图上标注的层数为准，架空层、转换层也应注明所在楼层。</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3、对几栋楼共有的地下建筑或裙楼，需在“栋号”栏注明。如“栋号”栏填写“1、2、3”，“楼层”栏填写“2”即表示该1、2、3号楼共有的第2层裙楼的规划许可内容。对于可单独分区的地下建筑或裙楼按第一条说明填写。</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4、“楼层面积”是指每一层的建筑面积或计容建筑面积、同类楼层的建筑面积之和或计容建筑面积之和，建筑面积或计容建筑面积计算规则按照《重庆市城市规划管理技术规定》、《建筑工程建筑面积计算规范》（GB/T 50353—2013）、《重庆市工程建设项目建筑面积测算规则》执行。</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5、表格中的建筑物性质类别划分按照以下原则进行：公共建筑（不含配套设施）是指商业、酒店、办公、科研及其他可供人们进行各种公共活动的建筑；配套设施是指按《建设用地规划许可证》要求配置的公共设施和按国家相关规定设置的配套用房。架空层、转换层等其他建筑功能列入“其他”栏。</w:t>
            </w:r>
          </w:p>
        </w:tc>
      </w:tr>
    </w:tbl>
    <w:p>
      <w:pPr>
        <w:widowControl/>
        <w:jc w:val="left"/>
        <w:rPr>
          <w:rFonts w:eastAsia="方正黑体_GBK"/>
          <w:bCs/>
          <w:szCs w:val="32"/>
        </w:rPr>
        <w:sectPr>
          <w:pgSz w:w="16838" w:h="11906" w:orient="landscape"/>
          <w:pgMar w:top="1800" w:right="1440" w:bottom="1800" w:left="1440" w:header="720" w:footer="1134" w:gutter="0"/>
          <w:cols w:space="720" w:num="1"/>
          <w:docGrid w:type="lines" w:linePitch="435" w:charSpace="0"/>
        </w:sectPr>
      </w:pPr>
    </w:p>
    <w:p>
      <w:pPr>
        <w:pStyle w:val="2"/>
        <w:adjustRightInd w:val="0"/>
        <w:snapToGrid w:val="0"/>
        <w:ind w:firstLine="0"/>
        <w:rPr>
          <w:rFonts w:eastAsia="方正黑体_GBK"/>
          <w:bCs/>
          <w:sz w:val="32"/>
          <w:szCs w:val="32"/>
        </w:rPr>
      </w:pPr>
      <w:r>
        <w:rPr>
          <w:rFonts w:eastAsia="方正黑体_GBK"/>
          <w:bCs/>
          <w:sz w:val="32"/>
          <w:szCs w:val="32"/>
        </w:rPr>
        <w:t>表三</w:t>
      </w:r>
    </w:p>
    <w:p>
      <w:pPr>
        <w:ind w:firstLine="641"/>
        <w:jc w:val="center"/>
        <w:rPr>
          <w:rFonts w:eastAsia="方正小标宋_GBK"/>
          <w:sz w:val="36"/>
          <w:szCs w:val="36"/>
        </w:rPr>
      </w:pPr>
      <w:r>
        <w:rPr>
          <w:rFonts w:eastAsia="方正小标宋_GBK"/>
          <w:sz w:val="36"/>
          <w:szCs w:val="36"/>
        </w:rPr>
        <w:t>配建停车位统计表</w:t>
      </w:r>
    </w:p>
    <w:tbl>
      <w:tblPr>
        <w:tblStyle w:val="6"/>
        <w:tblpPr w:leftFromText="180" w:rightFromText="180" w:vertAnchor="text" w:horzAnchor="page" w:tblpXSpec="center" w:tblpY="768"/>
        <w:tblOverlap w:val="never"/>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5"/>
        <w:gridCol w:w="314"/>
        <w:gridCol w:w="2084"/>
        <w:gridCol w:w="1175"/>
        <w:gridCol w:w="815"/>
        <w:gridCol w:w="1010"/>
        <w:gridCol w:w="101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建筑使用功能</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单位</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指标</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户数/面积（㎡）</w:t>
            </w: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应配建停车位（个）</w:t>
            </w: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设计配建停车位（个）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54"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居住</w:t>
            </w: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一类住宅（建筑面积&gt;200㎡）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2.5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二类住宅（100㎡≤建筑面积≤200㎡）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三类住宅（建筑面积﹤100㎡）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保障性住房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0.8</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幼儿园、物管用房、社区组织工作用房等住宅配套用房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5" w:hRule="atLeast"/>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商业、办公</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医院</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三甲医院</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其他医院</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车位/100m2建筑面积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旅馆，展览馆、博物馆、科技馆、图书馆、剧院等文化设施</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0.8</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场馆〔不包括设在学校内的体育场（馆）〕</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会展中心</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0.6</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大型体育场（馆）</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4.0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其他体育场（馆）</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2.5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学校</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大中专院校</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中小学</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车位/班级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3.0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工业、物流仓储</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工业项目中生产用房、物流仓储</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0.1</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标准厂房项目中生产用房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工业项目中行政办公及生活服务设施、楼宇产业园项目中生产用房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长途客运站、火车站、客运码头、机场</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公园</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公园用地</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合计</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gridSpan w:val="8"/>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注：</w:t>
            </w:r>
            <w:r>
              <w:rPr>
                <w:rFonts w:hint="eastAsia" w:ascii="Times New Roman" w:hAnsi="Times New Roman" w:eastAsia="方正仿宋_GBK" w:cs="Times New Roman"/>
                <w:sz w:val="24"/>
                <w:lang w:eastAsia="zh-CN"/>
              </w:rPr>
              <w:t>1</w:t>
            </w:r>
            <w:r>
              <w:rPr>
                <w:rFonts w:hint="default" w:ascii="Times New Roman" w:hAnsi="Times New Roman" w:eastAsia="方正仿宋_GBK" w:cs="Times New Roman"/>
                <w:sz w:val="24"/>
              </w:rPr>
              <w:t>．本表中停车位均指小型汽车的停车位，微型车位不纳入指标计算，计算出的停车位数量不足1个的按照1个计算。</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2</w:t>
            </w:r>
            <w:r>
              <w:rPr>
                <w:rFonts w:hint="default" w:ascii="Times New Roman" w:hAnsi="Times New Roman" w:eastAsia="方正仿宋_GBK" w:cs="Times New Roman"/>
                <w:sz w:val="24"/>
              </w:rPr>
              <w:t>．本表中停车位为建设项目应当配建的停车位数量下限值。</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3</w:t>
            </w:r>
            <w:r>
              <w:rPr>
                <w:rFonts w:hint="default" w:ascii="Times New Roman" w:hAnsi="Times New Roman" w:eastAsia="方正仿宋_GBK" w:cs="Times New Roman"/>
                <w:sz w:val="24"/>
              </w:rPr>
              <w:t>．大中专院校建设项目的停车位配建按照扣除教学用房以后的建筑面积计算。</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4</w:t>
            </w:r>
            <w:r>
              <w:rPr>
                <w:rFonts w:hint="default" w:ascii="Times New Roman" w:hAnsi="Times New Roman" w:eastAsia="方正仿宋_GBK" w:cs="Times New Roman"/>
                <w:sz w:val="24"/>
              </w:rPr>
              <w:t>．宿舍建筑配建停车位标准按照所服务的建筑功能（如工业、学校等）确定。</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5</w:t>
            </w:r>
            <w:r>
              <w:rPr>
                <w:rFonts w:hint="default" w:ascii="Times New Roman" w:hAnsi="Times New Roman" w:eastAsia="方正仿宋_GBK" w:cs="Times New Roman"/>
                <w:sz w:val="24"/>
              </w:rPr>
              <w:t>．养老设施的配建停车位标准参照住宅执行，不得低于保障性住房标准，其地面停车位可以计入配建指标。</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6</w:t>
            </w:r>
            <w:r>
              <w:rPr>
                <w:rFonts w:hint="default" w:ascii="Times New Roman" w:hAnsi="Times New Roman" w:eastAsia="方正仿宋_GBK" w:cs="Times New Roman"/>
                <w:sz w:val="24"/>
              </w:rPr>
              <w:t>．主城区以外的区县（自治县）避暑休闲地产中的住宅建筑停车位配建标准按保障性住房标准执行，地面停车位数量不得超过其配建停车位数量的30%。</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7</w:t>
            </w:r>
            <w:r>
              <w:rPr>
                <w:rFonts w:hint="default" w:ascii="Times New Roman" w:hAnsi="Times New Roman" w:eastAsia="方正仿宋_GBK" w:cs="Times New Roman"/>
                <w:sz w:val="24"/>
              </w:rPr>
              <w:t>．未列入本表中的建筑配建标准，由城乡规划主管部门根据具体情况，参照有关标准确定。</w:t>
            </w:r>
          </w:p>
        </w:tc>
      </w:tr>
    </w:tbl>
    <w:p>
      <w:pPr>
        <w:rPr>
          <w:sz w:val="24"/>
        </w:rPr>
      </w:pPr>
    </w:p>
    <w:p>
      <w:pPr>
        <w:rPr>
          <w:rFonts w:eastAsia="方正黑体_GBK"/>
          <w:szCs w:val="32"/>
        </w:rPr>
      </w:pPr>
      <w:r>
        <w:rPr>
          <w:sz w:val="24"/>
        </w:rPr>
        <w:br w:type="page"/>
      </w:r>
      <w:r>
        <w:rPr>
          <w:rFonts w:ascii="Times New Roman" w:hAnsi="Times New Roman" w:eastAsia="方正黑体_GBK" w:cs="Times New Roman"/>
          <w:sz w:val="32"/>
          <w:szCs w:val="32"/>
        </w:rPr>
        <w:t>附件3</w:t>
      </w:r>
    </w:p>
    <w:p>
      <w:pPr>
        <w:pStyle w:val="2"/>
        <w:jc w:val="center"/>
      </w:pPr>
      <w:r>
        <w:rPr>
          <w:rFonts w:eastAsia="方正小标宋_GBK"/>
          <w:sz w:val="44"/>
          <w:szCs w:val="44"/>
        </w:rPr>
        <w:t>特定用地项目房屋功能及登记用途对照表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2655"/>
        <w:gridCol w:w="1725"/>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用地类别</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房屋功能</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登记用途</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w:t>
            </w:r>
          </w:p>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（M）</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工业（厂房）</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w:t>
            </w:r>
          </w:p>
        </w:tc>
        <w:tc>
          <w:tcPr>
            <w:tcW w:w="1708"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工业（办公）</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工业（车库）</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物流仓储（W）</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物流仓储（...）</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仓储</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医疗卫生</w:t>
            </w:r>
          </w:p>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（A5）</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医疗卫生（...）</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医疗卫生</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教育（A31、A32、A33、A34）</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教育（...）</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教育</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科研（A35）</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科研（...）</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科研</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注：房屋功能格式为“土地用途（房屋功能）”。</w:t>
            </w:r>
          </w:p>
        </w:tc>
      </w:tr>
    </w:tbl>
    <w:p>
      <w:pPr>
        <w:rPr>
          <w:sz w:val="32"/>
          <w:szCs w:val="32"/>
        </w:rPr>
      </w:pPr>
    </w:p>
    <w:p>
      <w:pPr>
        <w:ind w:firstLine="640"/>
      </w:pPr>
    </w:p>
    <w:p/>
    <w:sectPr>
      <w:pgSz w:w="11906" w:h="16838"/>
      <w:pgMar w:top="1440" w:right="1800" w:bottom="1440" w:left="1800" w:header="851"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9029C6-FFE8-4E6D-BBBE-C8A4ED3E4FFB}"/>
  </w:font>
  <w:font w:name="Arial">
    <w:panose1 w:val="020B0604020202020204"/>
    <w:charset w:val="01"/>
    <w:family w:val="swiss"/>
    <w:pitch w:val="default"/>
    <w:sig w:usb0="E0002AFF" w:usb1="C0007843" w:usb2="00000009" w:usb3="00000000" w:csb0="400001FF" w:csb1="FFFF0000"/>
    <w:embedRegular r:id="rId2" w:fontKey="{331B0926-8F39-41F6-AE59-623AF84ED6E1}"/>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C90345D-8712-4982-A9CB-0CBB02081776}"/>
  </w:font>
  <w:font w:name="Symbol">
    <w:panose1 w:val="05050102010706020507"/>
    <w:charset w:val="02"/>
    <w:family w:val="roman"/>
    <w:pitch w:val="default"/>
    <w:sig w:usb0="00000000" w:usb1="00000000" w:usb2="00000000" w:usb3="00000000" w:csb0="80000000" w:csb1="00000000"/>
    <w:embedRegular r:id="rId4" w:fontKey="{DE5D8EB5-EF57-4224-921F-9CAABAF44044}"/>
  </w:font>
  <w:font w:name="Calibri">
    <w:panose1 w:val="020F0502020204030204"/>
    <w:charset w:val="00"/>
    <w:family w:val="swiss"/>
    <w:pitch w:val="default"/>
    <w:sig w:usb0="E00002FF" w:usb1="4000ACFF" w:usb2="00000001" w:usb3="00000000" w:csb0="2000019F" w:csb1="00000000"/>
    <w:embedRegular r:id="rId5" w:fontKey="{1398741C-D21F-4F6B-A09D-84ACBB9132D0}"/>
  </w:font>
  <w:font w:name="方正黑体_GBK">
    <w:panose1 w:val="03000509000000000000"/>
    <w:charset w:val="86"/>
    <w:family w:val="script"/>
    <w:pitch w:val="default"/>
    <w:sig w:usb0="00000001" w:usb1="080E0000" w:usb2="00000000" w:usb3="00000000" w:csb0="00040000" w:csb1="00000000"/>
    <w:embedRegular r:id="rId6" w:fontKey="{3424DFEF-9658-4EEC-ABF5-40C4F4EFCB69}"/>
  </w:font>
  <w:font w:name="方正大标宋简体">
    <w:panose1 w:val="02010601030101010101"/>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7" w:fontKey="{E636E970-5B9A-4A2C-9FFD-74863FFF94CE}"/>
  </w:font>
  <w:font w:name="方正小标宋_GBK">
    <w:panose1 w:val="03000509000000000000"/>
    <w:charset w:val="86"/>
    <w:family w:val="script"/>
    <w:pitch w:val="default"/>
    <w:sig w:usb0="00000001" w:usb1="080E0000" w:usb2="00000000" w:usb3="00000000" w:csb0="00040000" w:csb1="00000000"/>
    <w:embedRegular r:id="rId8" w:fontKey="{023C763F-9AB0-4D37-93FF-E475A10EE44A}"/>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4295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42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8.5pt;mso-position-horizontal:outside;mso-position-horizontal-relative:margin;z-index:251659264;mso-width-relative:page;mso-height-relative:page;" filled="f" stroked="f" coordsize="21600,21600" o:gfxdata="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Y4INMAAAAFAQAADwAAAAAA&#10;AAABACAAAAAiAAAAZHJzL2Rvd25yZXYueG1sUEsBAhQAFAAAAAgAh07iQL5XPsoYAgAAFAQAAA4A&#10;AAAAAAAAAQAgAAAAIgEAAGRycy9lMm9Eb2MueG1sUEsFBgAAAAAGAAYAWQEAAKwFA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172A27"/>
    <w:rsid w:val="00197A76"/>
    <w:rsid w:val="0022698E"/>
    <w:rsid w:val="002B9CC8"/>
    <w:rsid w:val="003C41F1"/>
    <w:rsid w:val="0067F8C8"/>
    <w:rsid w:val="008AB7D0"/>
    <w:rsid w:val="00C7DB2C"/>
    <w:rsid w:val="00DD84E1"/>
    <w:rsid w:val="010127A8"/>
    <w:rsid w:val="01369C55"/>
    <w:rsid w:val="013E4439"/>
    <w:rsid w:val="014AD871"/>
    <w:rsid w:val="01517D04"/>
    <w:rsid w:val="01A0A7DC"/>
    <w:rsid w:val="01B1F067"/>
    <w:rsid w:val="02337D1B"/>
    <w:rsid w:val="0246F043"/>
    <w:rsid w:val="0248B925"/>
    <w:rsid w:val="024CE9C5"/>
    <w:rsid w:val="0263626C"/>
    <w:rsid w:val="028307C5"/>
    <w:rsid w:val="02BD07C7"/>
    <w:rsid w:val="02CA72D1"/>
    <w:rsid w:val="02D74FF0"/>
    <w:rsid w:val="02D9AABA"/>
    <w:rsid w:val="02EE8877"/>
    <w:rsid w:val="03220846"/>
    <w:rsid w:val="0330D2F3"/>
    <w:rsid w:val="033248BD"/>
    <w:rsid w:val="03689DC2"/>
    <w:rsid w:val="03945C92"/>
    <w:rsid w:val="039CF758"/>
    <w:rsid w:val="03C1FDD3"/>
    <w:rsid w:val="03CB090E"/>
    <w:rsid w:val="03D5A2BB"/>
    <w:rsid w:val="03F4573E"/>
    <w:rsid w:val="0405DC0D"/>
    <w:rsid w:val="041C8619"/>
    <w:rsid w:val="041CFD98"/>
    <w:rsid w:val="04214EE0"/>
    <w:rsid w:val="0433E6B9"/>
    <w:rsid w:val="04602BAE"/>
    <w:rsid w:val="048C47AE"/>
    <w:rsid w:val="04B1FDBE"/>
    <w:rsid w:val="04C52634"/>
    <w:rsid w:val="051AEE46"/>
    <w:rsid w:val="054E96D1"/>
    <w:rsid w:val="058BE965"/>
    <w:rsid w:val="0625183F"/>
    <w:rsid w:val="0627EA33"/>
    <w:rsid w:val="0639CD0A"/>
    <w:rsid w:val="06520217"/>
    <w:rsid w:val="066BF0E9"/>
    <w:rsid w:val="068F3BB4"/>
    <w:rsid w:val="06E939EB"/>
    <w:rsid w:val="075640D2"/>
    <w:rsid w:val="0758F740"/>
    <w:rsid w:val="0774CEA7"/>
    <w:rsid w:val="079DD4D6"/>
    <w:rsid w:val="07C06BE1"/>
    <w:rsid w:val="07E43257"/>
    <w:rsid w:val="07E96D70"/>
    <w:rsid w:val="07F84B24"/>
    <w:rsid w:val="08545FD8"/>
    <w:rsid w:val="085AADBE"/>
    <w:rsid w:val="086B226A"/>
    <w:rsid w:val="08756680"/>
    <w:rsid w:val="089FDC2A"/>
    <w:rsid w:val="08AF25D1"/>
    <w:rsid w:val="08BFD774"/>
    <w:rsid w:val="08E111BC"/>
    <w:rsid w:val="08E36C80"/>
    <w:rsid w:val="091210E8"/>
    <w:rsid w:val="09193DC0"/>
    <w:rsid w:val="0969210A"/>
    <w:rsid w:val="098F550B"/>
    <w:rsid w:val="0995F46A"/>
    <w:rsid w:val="09ACF0FE"/>
    <w:rsid w:val="09B74657"/>
    <w:rsid w:val="09BAE02D"/>
    <w:rsid w:val="09F86FC3"/>
    <w:rsid w:val="09F8FEED"/>
    <w:rsid w:val="0A00DA73"/>
    <w:rsid w:val="0A13D971"/>
    <w:rsid w:val="0A2827FB"/>
    <w:rsid w:val="0A3B9852"/>
    <w:rsid w:val="0A43BE62"/>
    <w:rsid w:val="0A6040C9"/>
    <w:rsid w:val="0A68C724"/>
    <w:rsid w:val="0A85AA15"/>
    <w:rsid w:val="0B6878B5"/>
    <w:rsid w:val="0B6DD84F"/>
    <w:rsid w:val="0B867328"/>
    <w:rsid w:val="0B9E28CE"/>
    <w:rsid w:val="0BE467F4"/>
    <w:rsid w:val="0BEB3079"/>
    <w:rsid w:val="0BFCC5C9"/>
    <w:rsid w:val="0C0FF7AC"/>
    <w:rsid w:val="0C227B84"/>
    <w:rsid w:val="0C26618B"/>
    <w:rsid w:val="0CBBB5BF"/>
    <w:rsid w:val="0CC77521"/>
    <w:rsid w:val="0CD1A1A3"/>
    <w:rsid w:val="0D3866DE"/>
    <w:rsid w:val="0D3F7F23"/>
    <w:rsid w:val="0D609D9E"/>
    <w:rsid w:val="0D6FDDBA"/>
    <w:rsid w:val="0D868035"/>
    <w:rsid w:val="0D976244"/>
    <w:rsid w:val="0DA4AE9F"/>
    <w:rsid w:val="0DF5613A"/>
    <w:rsid w:val="0E0DCBAE"/>
    <w:rsid w:val="0E19385B"/>
    <w:rsid w:val="0E3D5C28"/>
    <w:rsid w:val="0E533694"/>
    <w:rsid w:val="0E683899"/>
    <w:rsid w:val="0E7A2650"/>
    <w:rsid w:val="0EA0DBD6"/>
    <w:rsid w:val="0EBC6CDA"/>
    <w:rsid w:val="0EC64212"/>
    <w:rsid w:val="0F1CB1D5"/>
    <w:rsid w:val="0F371EC4"/>
    <w:rsid w:val="0F53A30C"/>
    <w:rsid w:val="0F5AD675"/>
    <w:rsid w:val="0F87A992"/>
    <w:rsid w:val="0F987BE4"/>
    <w:rsid w:val="0FB73822"/>
    <w:rsid w:val="0FC370C1"/>
    <w:rsid w:val="1008121E"/>
    <w:rsid w:val="103FEB58"/>
    <w:rsid w:val="10411479"/>
    <w:rsid w:val="104FE5B4"/>
    <w:rsid w:val="108E1685"/>
    <w:rsid w:val="10FA091B"/>
    <w:rsid w:val="1106047A"/>
    <w:rsid w:val="11072EA4"/>
    <w:rsid w:val="114DC298"/>
    <w:rsid w:val="117C285B"/>
    <w:rsid w:val="11A4461F"/>
    <w:rsid w:val="11B95FE1"/>
    <w:rsid w:val="11BA62AF"/>
    <w:rsid w:val="11FF8D97"/>
    <w:rsid w:val="124959C7"/>
    <w:rsid w:val="12524792"/>
    <w:rsid w:val="125E6C06"/>
    <w:rsid w:val="1290A63B"/>
    <w:rsid w:val="12B6BA4E"/>
    <w:rsid w:val="12B76D17"/>
    <w:rsid w:val="12C871A7"/>
    <w:rsid w:val="12E55794"/>
    <w:rsid w:val="1308CEEE"/>
    <w:rsid w:val="13484309"/>
    <w:rsid w:val="1361EC80"/>
    <w:rsid w:val="136431CD"/>
    <w:rsid w:val="13A85841"/>
    <w:rsid w:val="13AEE028"/>
    <w:rsid w:val="13CEDAB0"/>
    <w:rsid w:val="13F397E7"/>
    <w:rsid w:val="140B0420"/>
    <w:rsid w:val="140D22CE"/>
    <w:rsid w:val="14383DF4"/>
    <w:rsid w:val="14510442"/>
    <w:rsid w:val="145D62A4"/>
    <w:rsid w:val="1498D04A"/>
    <w:rsid w:val="149FC4E5"/>
    <w:rsid w:val="14A3A038"/>
    <w:rsid w:val="14ABE65E"/>
    <w:rsid w:val="14D6055C"/>
    <w:rsid w:val="14DFAD58"/>
    <w:rsid w:val="150FC3DE"/>
    <w:rsid w:val="1515729F"/>
    <w:rsid w:val="152485E4"/>
    <w:rsid w:val="1526EC7B"/>
    <w:rsid w:val="15323A38"/>
    <w:rsid w:val="15551B57"/>
    <w:rsid w:val="15608319"/>
    <w:rsid w:val="1565887C"/>
    <w:rsid w:val="15CFDCF2"/>
    <w:rsid w:val="15DCB9C4"/>
    <w:rsid w:val="15F1A4C0"/>
    <w:rsid w:val="165BD850"/>
    <w:rsid w:val="1689A28A"/>
    <w:rsid w:val="16A9BA8C"/>
    <w:rsid w:val="16D34816"/>
    <w:rsid w:val="16F12BA5"/>
    <w:rsid w:val="16F46261"/>
    <w:rsid w:val="1771C47A"/>
    <w:rsid w:val="17834117"/>
    <w:rsid w:val="17AF9680"/>
    <w:rsid w:val="17C25F60"/>
    <w:rsid w:val="17EE6DD3"/>
    <w:rsid w:val="1811CCF6"/>
    <w:rsid w:val="1823CE42"/>
    <w:rsid w:val="1831379B"/>
    <w:rsid w:val="18874621"/>
    <w:rsid w:val="19052A87"/>
    <w:rsid w:val="191202E0"/>
    <w:rsid w:val="192673DA"/>
    <w:rsid w:val="199A7258"/>
    <w:rsid w:val="199B73AA"/>
    <w:rsid w:val="19A7C930"/>
    <w:rsid w:val="19B38A24"/>
    <w:rsid w:val="19EC8A17"/>
    <w:rsid w:val="1A20788B"/>
    <w:rsid w:val="1A60774F"/>
    <w:rsid w:val="1A6AB648"/>
    <w:rsid w:val="1A9C36E0"/>
    <w:rsid w:val="1A9C4901"/>
    <w:rsid w:val="1ABE30AA"/>
    <w:rsid w:val="1B140E5E"/>
    <w:rsid w:val="1B1B1388"/>
    <w:rsid w:val="1B5446F7"/>
    <w:rsid w:val="1B5ABB62"/>
    <w:rsid w:val="1B6FF3AD"/>
    <w:rsid w:val="1B7A59FF"/>
    <w:rsid w:val="1B9C5D94"/>
    <w:rsid w:val="1B9D8D58"/>
    <w:rsid w:val="1BABACFB"/>
    <w:rsid w:val="1BAC98DB"/>
    <w:rsid w:val="1BF6AAB2"/>
    <w:rsid w:val="1BFC247B"/>
    <w:rsid w:val="1C19FDB7"/>
    <w:rsid w:val="1C24D43B"/>
    <w:rsid w:val="1C29205C"/>
    <w:rsid w:val="1C50252A"/>
    <w:rsid w:val="1C511986"/>
    <w:rsid w:val="1C5CCC1F"/>
    <w:rsid w:val="1C6DBAD0"/>
    <w:rsid w:val="1C8660AB"/>
    <w:rsid w:val="1C8A1158"/>
    <w:rsid w:val="1CA1B082"/>
    <w:rsid w:val="1CEA3DA4"/>
    <w:rsid w:val="1CF95664"/>
    <w:rsid w:val="1D0A34A5"/>
    <w:rsid w:val="1D2DCA58"/>
    <w:rsid w:val="1D6867FA"/>
    <w:rsid w:val="1D68DA6D"/>
    <w:rsid w:val="1D7381FA"/>
    <w:rsid w:val="1D839126"/>
    <w:rsid w:val="1D9386D8"/>
    <w:rsid w:val="1D944699"/>
    <w:rsid w:val="1DAE0C7B"/>
    <w:rsid w:val="1DC340E8"/>
    <w:rsid w:val="1DC8BEF2"/>
    <w:rsid w:val="1DD40EBD"/>
    <w:rsid w:val="1E163529"/>
    <w:rsid w:val="1E1CFBC0"/>
    <w:rsid w:val="1E24111F"/>
    <w:rsid w:val="1E2D531F"/>
    <w:rsid w:val="1E351E67"/>
    <w:rsid w:val="1E4F385B"/>
    <w:rsid w:val="1E6335D6"/>
    <w:rsid w:val="1E707889"/>
    <w:rsid w:val="1F23DEB0"/>
    <w:rsid w:val="1F302DD9"/>
    <w:rsid w:val="1F36B220"/>
    <w:rsid w:val="1F3A5582"/>
    <w:rsid w:val="1F501429"/>
    <w:rsid w:val="1F58CACD"/>
    <w:rsid w:val="1FB2CF65"/>
    <w:rsid w:val="1FB6807D"/>
    <w:rsid w:val="1FC64E80"/>
    <w:rsid w:val="1FD0786B"/>
    <w:rsid w:val="1FF60988"/>
    <w:rsid w:val="20108ADB"/>
    <w:rsid w:val="2020F3EA"/>
    <w:rsid w:val="2023E72E"/>
    <w:rsid w:val="202ECEF9"/>
    <w:rsid w:val="203C0A64"/>
    <w:rsid w:val="203D1AC1"/>
    <w:rsid w:val="207144EE"/>
    <w:rsid w:val="2095BCB4"/>
    <w:rsid w:val="20C8C5E3"/>
    <w:rsid w:val="20D81ECB"/>
    <w:rsid w:val="2104546A"/>
    <w:rsid w:val="21364DAA"/>
    <w:rsid w:val="215EA0EE"/>
    <w:rsid w:val="21758820"/>
    <w:rsid w:val="21A1620A"/>
    <w:rsid w:val="21C27065"/>
    <w:rsid w:val="21E6332B"/>
    <w:rsid w:val="21E9997D"/>
    <w:rsid w:val="2204021E"/>
    <w:rsid w:val="221F869C"/>
    <w:rsid w:val="223383C2"/>
    <w:rsid w:val="22506370"/>
    <w:rsid w:val="22551FA8"/>
    <w:rsid w:val="22586CD9"/>
    <w:rsid w:val="225C67C4"/>
    <w:rsid w:val="225D91F5"/>
    <w:rsid w:val="225DF532"/>
    <w:rsid w:val="2294A579"/>
    <w:rsid w:val="22997D99"/>
    <w:rsid w:val="22A2AA8A"/>
    <w:rsid w:val="22A67269"/>
    <w:rsid w:val="22CE7C69"/>
    <w:rsid w:val="22FC09A5"/>
    <w:rsid w:val="2307DECD"/>
    <w:rsid w:val="232D8C59"/>
    <w:rsid w:val="2332B514"/>
    <w:rsid w:val="23343805"/>
    <w:rsid w:val="23631BD7"/>
    <w:rsid w:val="2383956C"/>
    <w:rsid w:val="238406C1"/>
    <w:rsid w:val="238D2EC0"/>
    <w:rsid w:val="23B3C8B1"/>
    <w:rsid w:val="23BF2D15"/>
    <w:rsid w:val="23F42D6E"/>
    <w:rsid w:val="23F70C39"/>
    <w:rsid w:val="243893A6"/>
    <w:rsid w:val="24820787"/>
    <w:rsid w:val="24B6C8F0"/>
    <w:rsid w:val="24CF52EC"/>
    <w:rsid w:val="25084715"/>
    <w:rsid w:val="252AE0BF"/>
    <w:rsid w:val="255B21D5"/>
    <w:rsid w:val="2571103B"/>
    <w:rsid w:val="2592B7BC"/>
    <w:rsid w:val="25A40A6B"/>
    <w:rsid w:val="25CF37DB"/>
    <w:rsid w:val="25DF81D8"/>
    <w:rsid w:val="25E3BA6A"/>
    <w:rsid w:val="261448BE"/>
    <w:rsid w:val="262D48DE"/>
    <w:rsid w:val="264438DC"/>
    <w:rsid w:val="2650C91A"/>
    <w:rsid w:val="2669E83F"/>
    <w:rsid w:val="267D2238"/>
    <w:rsid w:val="26C93DF6"/>
    <w:rsid w:val="272C8CA0"/>
    <w:rsid w:val="27428621"/>
    <w:rsid w:val="2768DF01"/>
    <w:rsid w:val="2778B535"/>
    <w:rsid w:val="2792DFBF"/>
    <w:rsid w:val="2796B7C6"/>
    <w:rsid w:val="27A5DA82"/>
    <w:rsid w:val="27A66631"/>
    <w:rsid w:val="27A9180A"/>
    <w:rsid w:val="27B4B764"/>
    <w:rsid w:val="27E23D91"/>
    <w:rsid w:val="27E35D60"/>
    <w:rsid w:val="281DA6F5"/>
    <w:rsid w:val="283D52A3"/>
    <w:rsid w:val="286C06A4"/>
    <w:rsid w:val="288D95AC"/>
    <w:rsid w:val="28A5FC4B"/>
    <w:rsid w:val="28EC2872"/>
    <w:rsid w:val="28F4E2B6"/>
    <w:rsid w:val="28FBA8AE"/>
    <w:rsid w:val="29035092"/>
    <w:rsid w:val="2903F370"/>
    <w:rsid w:val="295E88E3"/>
    <w:rsid w:val="29880A0E"/>
    <w:rsid w:val="2999F29F"/>
    <w:rsid w:val="29A6875A"/>
    <w:rsid w:val="29B3052B"/>
    <w:rsid w:val="29C48DF5"/>
    <w:rsid w:val="29C8F77E"/>
    <w:rsid w:val="29DE0151"/>
    <w:rsid w:val="29F27CC6"/>
    <w:rsid w:val="29FF4C13"/>
    <w:rsid w:val="2A004C01"/>
    <w:rsid w:val="2A4699AD"/>
    <w:rsid w:val="2AD54F2F"/>
    <w:rsid w:val="2AE930CE"/>
    <w:rsid w:val="2AEA6CED"/>
    <w:rsid w:val="2AF77F29"/>
    <w:rsid w:val="2B16C070"/>
    <w:rsid w:val="2B214616"/>
    <w:rsid w:val="2B24CDC9"/>
    <w:rsid w:val="2B604830"/>
    <w:rsid w:val="2B6834EE"/>
    <w:rsid w:val="2B6A3C0C"/>
    <w:rsid w:val="2B93F510"/>
    <w:rsid w:val="2BA71F69"/>
    <w:rsid w:val="2C14D192"/>
    <w:rsid w:val="2C27FFEF"/>
    <w:rsid w:val="2C4802E3"/>
    <w:rsid w:val="2C5C1BBF"/>
    <w:rsid w:val="2C6C6444"/>
    <w:rsid w:val="2C7320A9"/>
    <w:rsid w:val="2CA51BA6"/>
    <w:rsid w:val="2D1C9751"/>
    <w:rsid w:val="2D774A36"/>
    <w:rsid w:val="2D797268"/>
    <w:rsid w:val="2DE4118E"/>
    <w:rsid w:val="2DE5D51E"/>
    <w:rsid w:val="2DE829C0"/>
    <w:rsid w:val="2DEE52FF"/>
    <w:rsid w:val="2E05C944"/>
    <w:rsid w:val="2E4F43CE"/>
    <w:rsid w:val="2E575A3D"/>
    <w:rsid w:val="2E83611B"/>
    <w:rsid w:val="2E88F6E2"/>
    <w:rsid w:val="2E996E6F"/>
    <w:rsid w:val="2EA0E2D9"/>
    <w:rsid w:val="2EA827D5"/>
    <w:rsid w:val="2EB34280"/>
    <w:rsid w:val="2EC74673"/>
    <w:rsid w:val="2ED8FB28"/>
    <w:rsid w:val="2EE7E1E4"/>
    <w:rsid w:val="2EEA3B3F"/>
    <w:rsid w:val="2EF0138D"/>
    <w:rsid w:val="2F001CE2"/>
    <w:rsid w:val="2F0A5AF6"/>
    <w:rsid w:val="2F0D6BEA"/>
    <w:rsid w:val="2F24F810"/>
    <w:rsid w:val="2F27E925"/>
    <w:rsid w:val="2F62B66F"/>
    <w:rsid w:val="2F69FF73"/>
    <w:rsid w:val="2F6C2A21"/>
    <w:rsid w:val="2F821B0C"/>
    <w:rsid w:val="2FA27F68"/>
    <w:rsid w:val="2FA5186E"/>
    <w:rsid w:val="2FBB4081"/>
    <w:rsid w:val="2FFCB01D"/>
    <w:rsid w:val="30122062"/>
    <w:rsid w:val="3053275B"/>
    <w:rsid w:val="30754D30"/>
    <w:rsid w:val="30773A95"/>
    <w:rsid w:val="309932FB"/>
    <w:rsid w:val="30A9F3E4"/>
    <w:rsid w:val="30C85E96"/>
    <w:rsid w:val="30E6B362"/>
    <w:rsid w:val="30E7C711"/>
    <w:rsid w:val="310D6CC9"/>
    <w:rsid w:val="310EC6D5"/>
    <w:rsid w:val="3154BBF8"/>
    <w:rsid w:val="3169BB28"/>
    <w:rsid w:val="31922EDE"/>
    <w:rsid w:val="31A0B554"/>
    <w:rsid w:val="31B88E92"/>
    <w:rsid w:val="323EEEA8"/>
    <w:rsid w:val="326AE052"/>
    <w:rsid w:val="326FBF85"/>
    <w:rsid w:val="329663A5"/>
    <w:rsid w:val="32F9A753"/>
    <w:rsid w:val="3300CD38"/>
    <w:rsid w:val="3330532F"/>
    <w:rsid w:val="33400F58"/>
    <w:rsid w:val="33532B23"/>
    <w:rsid w:val="33837281"/>
    <w:rsid w:val="3386D5D2"/>
    <w:rsid w:val="339E1C0B"/>
    <w:rsid w:val="33EF96E0"/>
    <w:rsid w:val="3421A452"/>
    <w:rsid w:val="344B2332"/>
    <w:rsid w:val="346CD306"/>
    <w:rsid w:val="346CD75F"/>
    <w:rsid w:val="348620D3"/>
    <w:rsid w:val="34C0979E"/>
    <w:rsid w:val="34C1E8D9"/>
    <w:rsid w:val="350F7BF8"/>
    <w:rsid w:val="352E16E1"/>
    <w:rsid w:val="355600B7"/>
    <w:rsid w:val="35716616"/>
    <w:rsid w:val="35849F26"/>
    <w:rsid w:val="3598F59A"/>
    <w:rsid w:val="35E4C3E5"/>
    <w:rsid w:val="35EA3811"/>
    <w:rsid w:val="360531E8"/>
    <w:rsid w:val="361471BF"/>
    <w:rsid w:val="362EA885"/>
    <w:rsid w:val="364C05DB"/>
    <w:rsid w:val="36515775"/>
    <w:rsid w:val="3669CCFF"/>
    <w:rsid w:val="367555CC"/>
    <w:rsid w:val="368CD81D"/>
    <w:rsid w:val="36B291C4"/>
    <w:rsid w:val="36E0932E"/>
    <w:rsid w:val="37179628"/>
    <w:rsid w:val="37181F7A"/>
    <w:rsid w:val="372D9786"/>
    <w:rsid w:val="373E7258"/>
    <w:rsid w:val="374B34A5"/>
    <w:rsid w:val="3761FF8A"/>
    <w:rsid w:val="37AFFA0E"/>
    <w:rsid w:val="37C7374B"/>
    <w:rsid w:val="37ECC841"/>
    <w:rsid w:val="37F3C169"/>
    <w:rsid w:val="382200E8"/>
    <w:rsid w:val="38321BB2"/>
    <w:rsid w:val="38599628"/>
    <w:rsid w:val="385F60A8"/>
    <w:rsid w:val="386222CD"/>
    <w:rsid w:val="3864BEA8"/>
    <w:rsid w:val="38809868"/>
    <w:rsid w:val="388EDABE"/>
    <w:rsid w:val="38A658D1"/>
    <w:rsid w:val="38BA5BD0"/>
    <w:rsid w:val="38E94BF7"/>
    <w:rsid w:val="38FB3EF9"/>
    <w:rsid w:val="392141EA"/>
    <w:rsid w:val="3932B913"/>
    <w:rsid w:val="393750F2"/>
    <w:rsid w:val="396DD6D5"/>
    <w:rsid w:val="397547DC"/>
    <w:rsid w:val="398AD0BD"/>
    <w:rsid w:val="399A20CD"/>
    <w:rsid w:val="399B93ED"/>
    <w:rsid w:val="399F8600"/>
    <w:rsid w:val="39D296DF"/>
    <w:rsid w:val="39E21B6F"/>
    <w:rsid w:val="39EBD2FF"/>
    <w:rsid w:val="39FD9558"/>
    <w:rsid w:val="3A07AED8"/>
    <w:rsid w:val="3A0CC6FA"/>
    <w:rsid w:val="3A159E87"/>
    <w:rsid w:val="3A2C712C"/>
    <w:rsid w:val="3A2D27BE"/>
    <w:rsid w:val="3A451E40"/>
    <w:rsid w:val="3A68ED02"/>
    <w:rsid w:val="3A783362"/>
    <w:rsid w:val="3A817D01"/>
    <w:rsid w:val="3AECA917"/>
    <w:rsid w:val="3AFC9655"/>
    <w:rsid w:val="3B008D2C"/>
    <w:rsid w:val="3B26B28B"/>
    <w:rsid w:val="3B32CD61"/>
    <w:rsid w:val="3B3B7318"/>
    <w:rsid w:val="3B71C865"/>
    <w:rsid w:val="3B909045"/>
    <w:rsid w:val="3B97D96D"/>
    <w:rsid w:val="3BA27169"/>
    <w:rsid w:val="3BD00DC6"/>
    <w:rsid w:val="3BDAF05E"/>
    <w:rsid w:val="3BDD6834"/>
    <w:rsid w:val="3C0C2E8E"/>
    <w:rsid w:val="3C16B0E2"/>
    <w:rsid w:val="3C239944"/>
    <w:rsid w:val="3C2407AB"/>
    <w:rsid w:val="3C3A24CD"/>
    <w:rsid w:val="3C57CC45"/>
    <w:rsid w:val="3C5A7053"/>
    <w:rsid w:val="3C6831C1"/>
    <w:rsid w:val="3C72F5FC"/>
    <w:rsid w:val="3C8ED918"/>
    <w:rsid w:val="3CF28DBA"/>
    <w:rsid w:val="3CF72FAE"/>
    <w:rsid w:val="3CF97783"/>
    <w:rsid w:val="3D1A711B"/>
    <w:rsid w:val="3D3C2231"/>
    <w:rsid w:val="3D52C5B9"/>
    <w:rsid w:val="3D811B3B"/>
    <w:rsid w:val="3D9EE677"/>
    <w:rsid w:val="3DD9ED9E"/>
    <w:rsid w:val="3E214EB7"/>
    <w:rsid w:val="3E74AB64"/>
    <w:rsid w:val="3E896A62"/>
    <w:rsid w:val="3E8B7DC8"/>
    <w:rsid w:val="3E96EAEE"/>
    <w:rsid w:val="3F00A135"/>
    <w:rsid w:val="3F024126"/>
    <w:rsid w:val="3F296674"/>
    <w:rsid w:val="3F5F1FEB"/>
    <w:rsid w:val="3F6571A8"/>
    <w:rsid w:val="3F69C7DC"/>
    <w:rsid w:val="3F719F77"/>
    <w:rsid w:val="4022D927"/>
    <w:rsid w:val="402B9714"/>
    <w:rsid w:val="40382F95"/>
    <w:rsid w:val="403F93BB"/>
    <w:rsid w:val="40480CD0"/>
    <w:rsid w:val="404AB488"/>
    <w:rsid w:val="4064D025"/>
    <w:rsid w:val="4094B872"/>
    <w:rsid w:val="40E8C69C"/>
    <w:rsid w:val="40FDF95A"/>
    <w:rsid w:val="40FFE9FA"/>
    <w:rsid w:val="413E8E57"/>
    <w:rsid w:val="415A7B20"/>
    <w:rsid w:val="41664F90"/>
    <w:rsid w:val="4192DBD8"/>
    <w:rsid w:val="4192ECE4"/>
    <w:rsid w:val="41B0B365"/>
    <w:rsid w:val="41BA1ACD"/>
    <w:rsid w:val="41D1767C"/>
    <w:rsid w:val="41E8486C"/>
    <w:rsid w:val="41ED2C40"/>
    <w:rsid w:val="41F984BD"/>
    <w:rsid w:val="41FBC943"/>
    <w:rsid w:val="4222B896"/>
    <w:rsid w:val="4231EC2C"/>
    <w:rsid w:val="42418E4F"/>
    <w:rsid w:val="42447CA4"/>
    <w:rsid w:val="4255EDBF"/>
    <w:rsid w:val="426C6AF6"/>
    <w:rsid w:val="4280BA92"/>
    <w:rsid w:val="4285BF6F"/>
    <w:rsid w:val="42946239"/>
    <w:rsid w:val="43129D35"/>
    <w:rsid w:val="431A9852"/>
    <w:rsid w:val="432650D2"/>
    <w:rsid w:val="4346A606"/>
    <w:rsid w:val="43713B61"/>
    <w:rsid w:val="43751F85"/>
    <w:rsid w:val="437653EE"/>
    <w:rsid w:val="43916E0A"/>
    <w:rsid w:val="439C79D4"/>
    <w:rsid w:val="439DC1BD"/>
    <w:rsid w:val="43A16599"/>
    <w:rsid w:val="43ABCC90"/>
    <w:rsid w:val="43B564E9"/>
    <w:rsid w:val="43CAA751"/>
    <w:rsid w:val="43DDC8CB"/>
    <w:rsid w:val="4403D130"/>
    <w:rsid w:val="44091B11"/>
    <w:rsid w:val="4414EF12"/>
    <w:rsid w:val="4459898F"/>
    <w:rsid w:val="44780DBA"/>
    <w:rsid w:val="449CB007"/>
    <w:rsid w:val="44B4198F"/>
    <w:rsid w:val="44C7356D"/>
    <w:rsid w:val="44E8687A"/>
    <w:rsid w:val="45332967"/>
    <w:rsid w:val="45414F68"/>
    <w:rsid w:val="45556F04"/>
    <w:rsid w:val="4558AD78"/>
    <w:rsid w:val="4573B4E4"/>
    <w:rsid w:val="458FC623"/>
    <w:rsid w:val="4593B5DD"/>
    <w:rsid w:val="459B9C5E"/>
    <w:rsid w:val="45BC3104"/>
    <w:rsid w:val="46071E83"/>
    <w:rsid w:val="463392B8"/>
    <w:rsid w:val="465ADB77"/>
    <w:rsid w:val="467D762B"/>
    <w:rsid w:val="469D5852"/>
    <w:rsid w:val="46C04D01"/>
    <w:rsid w:val="46C37A49"/>
    <w:rsid w:val="46E103E7"/>
    <w:rsid w:val="470EB5FA"/>
    <w:rsid w:val="47150969"/>
    <w:rsid w:val="4772FFF0"/>
    <w:rsid w:val="479C2D04"/>
    <w:rsid w:val="479F1622"/>
    <w:rsid w:val="47DE2476"/>
    <w:rsid w:val="48232121"/>
    <w:rsid w:val="485EC182"/>
    <w:rsid w:val="489CA4BE"/>
    <w:rsid w:val="489DF871"/>
    <w:rsid w:val="48C59CB6"/>
    <w:rsid w:val="48D136CE"/>
    <w:rsid w:val="48E4B114"/>
    <w:rsid w:val="48EB1BC5"/>
    <w:rsid w:val="49076725"/>
    <w:rsid w:val="490EB4A7"/>
    <w:rsid w:val="490F1B0A"/>
    <w:rsid w:val="49244C68"/>
    <w:rsid w:val="4935AB84"/>
    <w:rsid w:val="49395DE3"/>
    <w:rsid w:val="497A9D38"/>
    <w:rsid w:val="49C9FECC"/>
    <w:rsid w:val="49CD3400"/>
    <w:rsid w:val="49E6AEF2"/>
    <w:rsid w:val="4A0956F5"/>
    <w:rsid w:val="4A0D1FD3"/>
    <w:rsid w:val="4A36FC30"/>
    <w:rsid w:val="4A71EE1C"/>
    <w:rsid w:val="4AD25E9D"/>
    <w:rsid w:val="4AEE40FA"/>
    <w:rsid w:val="4B527E1B"/>
    <w:rsid w:val="4B95E155"/>
    <w:rsid w:val="4BBA7147"/>
    <w:rsid w:val="4BC6740A"/>
    <w:rsid w:val="4BD60BB8"/>
    <w:rsid w:val="4BE2CE6C"/>
    <w:rsid w:val="4BF756AA"/>
    <w:rsid w:val="4C11816E"/>
    <w:rsid w:val="4C460266"/>
    <w:rsid w:val="4C6884FE"/>
    <w:rsid w:val="4C7C15A1"/>
    <w:rsid w:val="4CCA0488"/>
    <w:rsid w:val="4CCC120E"/>
    <w:rsid w:val="4D038912"/>
    <w:rsid w:val="4D7F7A38"/>
    <w:rsid w:val="4D988B58"/>
    <w:rsid w:val="4DAB18F5"/>
    <w:rsid w:val="4DAB5A98"/>
    <w:rsid w:val="4DB71668"/>
    <w:rsid w:val="4DC89063"/>
    <w:rsid w:val="4DCBB534"/>
    <w:rsid w:val="4DE16CEB"/>
    <w:rsid w:val="4DED9E53"/>
    <w:rsid w:val="4DFC78C3"/>
    <w:rsid w:val="4DFEBF91"/>
    <w:rsid w:val="4E0C10F1"/>
    <w:rsid w:val="4E428AD7"/>
    <w:rsid w:val="4E8EA02C"/>
    <w:rsid w:val="4ED047B5"/>
    <w:rsid w:val="4EF1E089"/>
    <w:rsid w:val="4F009A47"/>
    <w:rsid w:val="4FC4442F"/>
    <w:rsid w:val="4FDB54E7"/>
    <w:rsid w:val="5018B1B6"/>
    <w:rsid w:val="50331CFE"/>
    <w:rsid w:val="5034D33F"/>
    <w:rsid w:val="5066EB0E"/>
    <w:rsid w:val="50863B38"/>
    <w:rsid w:val="50A19BA1"/>
    <w:rsid w:val="50B3E689"/>
    <w:rsid w:val="50E7DB97"/>
    <w:rsid w:val="5107BD99"/>
    <w:rsid w:val="5129DF58"/>
    <w:rsid w:val="515728A5"/>
    <w:rsid w:val="515AB2D5"/>
    <w:rsid w:val="516DB5FF"/>
    <w:rsid w:val="516F80C4"/>
    <w:rsid w:val="518A295D"/>
    <w:rsid w:val="51A3889A"/>
    <w:rsid w:val="51A5BAA4"/>
    <w:rsid w:val="51B40515"/>
    <w:rsid w:val="51B69BD3"/>
    <w:rsid w:val="51D890AD"/>
    <w:rsid w:val="520082A2"/>
    <w:rsid w:val="5206E506"/>
    <w:rsid w:val="523720B6"/>
    <w:rsid w:val="5247A90D"/>
    <w:rsid w:val="5250333E"/>
    <w:rsid w:val="52AAF827"/>
    <w:rsid w:val="52B9E41E"/>
    <w:rsid w:val="52E1AED7"/>
    <w:rsid w:val="52E3C41B"/>
    <w:rsid w:val="52F34A48"/>
    <w:rsid w:val="533E2919"/>
    <w:rsid w:val="534F9FB2"/>
    <w:rsid w:val="53503431"/>
    <w:rsid w:val="535573AB"/>
    <w:rsid w:val="535575EC"/>
    <w:rsid w:val="536EE71A"/>
    <w:rsid w:val="539F9C5F"/>
    <w:rsid w:val="53CE392D"/>
    <w:rsid w:val="53D195B2"/>
    <w:rsid w:val="53D2ECD5"/>
    <w:rsid w:val="53E81F6A"/>
    <w:rsid w:val="5444376A"/>
    <w:rsid w:val="546114AE"/>
    <w:rsid w:val="54662ED0"/>
    <w:rsid w:val="54796E30"/>
    <w:rsid w:val="547A9027"/>
    <w:rsid w:val="5498911D"/>
    <w:rsid w:val="54EDA89A"/>
    <w:rsid w:val="55119C06"/>
    <w:rsid w:val="551D558A"/>
    <w:rsid w:val="5526220E"/>
    <w:rsid w:val="5593869D"/>
    <w:rsid w:val="55A92DE0"/>
    <w:rsid w:val="5613C2B2"/>
    <w:rsid w:val="5613F2B5"/>
    <w:rsid w:val="5661F4F3"/>
    <w:rsid w:val="56F24C4E"/>
    <w:rsid w:val="570A3383"/>
    <w:rsid w:val="57131C09"/>
    <w:rsid w:val="57189FF4"/>
    <w:rsid w:val="571F105A"/>
    <w:rsid w:val="5720DE58"/>
    <w:rsid w:val="573530B4"/>
    <w:rsid w:val="5767DCAC"/>
    <w:rsid w:val="57790720"/>
    <w:rsid w:val="579C998D"/>
    <w:rsid w:val="57BD61B1"/>
    <w:rsid w:val="57F97035"/>
    <w:rsid w:val="582C5BBE"/>
    <w:rsid w:val="583ADD3D"/>
    <w:rsid w:val="5847C28A"/>
    <w:rsid w:val="586AEF84"/>
    <w:rsid w:val="587668C3"/>
    <w:rsid w:val="589EA5BF"/>
    <w:rsid w:val="58DAFAA7"/>
    <w:rsid w:val="58DE5DD4"/>
    <w:rsid w:val="58F905A7"/>
    <w:rsid w:val="590DD077"/>
    <w:rsid w:val="5915EFC6"/>
    <w:rsid w:val="59199FF1"/>
    <w:rsid w:val="591F8E6B"/>
    <w:rsid w:val="59882A4C"/>
    <w:rsid w:val="59A9F9E4"/>
    <w:rsid w:val="59D3FCB8"/>
    <w:rsid w:val="59EDE231"/>
    <w:rsid w:val="5A14A7F6"/>
    <w:rsid w:val="5A22B533"/>
    <w:rsid w:val="5ADD134C"/>
    <w:rsid w:val="5B08F326"/>
    <w:rsid w:val="5B0D9C14"/>
    <w:rsid w:val="5B0E26DC"/>
    <w:rsid w:val="5B26BA11"/>
    <w:rsid w:val="5B2F8F27"/>
    <w:rsid w:val="5B342257"/>
    <w:rsid w:val="5B3CEDBF"/>
    <w:rsid w:val="5B5B8B6A"/>
    <w:rsid w:val="5B67BD62"/>
    <w:rsid w:val="5B806011"/>
    <w:rsid w:val="5B98C9A9"/>
    <w:rsid w:val="5BCEEC48"/>
    <w:rsid w:val="5BD79450"/>
    <w:rsid w:val="5C45DAD5"/>
    <w:rsid w:val="5C72FA5D"/>
    <w:rsid w:val="5C81704C"/>
    <w:rsid w:val="5CC1D7B7"/>
    <w:rsid w:val="5D06856F"/>
    <w:rsid w:val="5D2A8A15"/>
    <w:rsid w:val="5D398FB8"/>
    <w:rsid w:val="5D583739"/>
    <w:rsid w:val="5D6FEAB8"/>
    <w:rsid w:val="5D789E66"/>
    <w:rsid w:val="5D881EFD"/>
    <w:rsid w:val="5DA233D3"/>
    <w:rsid w:val="5DB29FA4"/>
    <w:rsid w:val="5DE3E39B"/>
    <w:rsid w:val="5DFEF3F0"/>
    <w:rsid w:val="5E05E822"/>
    <w:rsid w:val="5E0C7B39"/>
    <w:rsid w:val="5E111DD3"/>
    <w:rsid w:val="5E23BA86"/>
    <w:rsid w:val="5E2E6849"/>
    <w:rsid w:val="5E49DD1E"/>
    <w:rsid w:val="5E7184C3"/>
    <w:rsid w:val="5E7325EA"/>
    <w:rsid w:val="5E733E20"/>
    <w:rsid w:val="5EAFA7D3"/>
    <w:rsid w:val="5EB3C4D4"/>
    <w:rsid w:val="5EBC05AF"/>
    <w:rsid w:val="5EE959DB"/>
    <w:rsid w:val="5EF9CF99"/>
    <w:rsid w:val="5F0946FC"/>
    <w:rsid w:val="5F0DD211"/>
    <w:rsid w:val="5F661F7A"/>
    <w:rsid w:val="5F8FD52E"/>
    <w:rsid w:val="5FAB3B7F"/>
    <w:rsid w:val="5FB1CB16"/>
    <w:rsid w:val="5FB96844"/>
    <w:rsid w:val="5FC5E203"/>
    <w:rsid w:val="5FCA12DA"/>
    <w:rsid w:val="5FEAE5AC"/>
    <w:rsid w:val="5FF321A3"/>
    <w:rsid w:val="60145721"/>
    <w:rsid w:val="6036674A"/>
    <w:rsid w:val="60634C4F"/>
    <w:rsid w:val="606C000F"/>
    <w:rsid w:val="60A7545D"/>
    <w:rsid w:val="60B01DD7"/>
    <w:rsid w:val="60B77141"/>
    <w:rsid w:val="60D31C51"/>
    <w:rsid w:val="6107EE1B"/>
    <w:rsid w:val="610C11D6"/>
    <w:rsid w:val="612D6B6E"/>
    <w:rsid w:val="613AB9FB"/>
    <w:rsid w:val="6159F3C1"/>
    <w:rsid w:val="615C5297"/>
    <w:rsid w:val="61922FFA"/>
    <w:rsid w:val="61E9BEA1"/>
    <w:rsid w:val="61FD9981"/>
    <w:rsid w:val="6201607B"/>
    <w:rsid w:val="6208D1AA"/>
    <w:rsid w:val="6209D2FC"/>
    <w:rsid w:val="62571BAC"/>
    <w:rsid w:val="627C8534"/>
    <w:rsid w:val="62BB7D80"/>
    <w:rsid w:val="62F6BBA9"/>
    <w:rsid w:val="6300A7EE"/>
    <w:rsid w:val="630A8E13"/>
    <w:rsid w:val="630F5D4C"/>
    <w:rsid w:val="633F41A7"/>
    <w:rsid w:val="6359A2FB"/>
    <w:rsid w:val="635E35E5"/>
    <w:rsid w:val="63661203"/>
    <w:rsid w:val="639D013B"/>
    <w:rsid w:val="63A515CF"/>
    <w:rsid w:val="63A607C4"/>
    <w:rsid w:val="63D086D0"/>
    <w:rsid w:val="63DA4B32"/>
    <w:rsid w:val="63F3041F"/>
    <w:rsid w:val="64054DB1"/>
    <w:rsid w:val="641755E1"/>
    <w:rsid w:val="642E0D49"/>
    <w:rsid w:val="643AB42D"/>
    <w:rsid w:val="64775139"/>
    <w:rsid w:val="648A7EA9"/>
    <w:rsid w:val="6492B9A6"/>
    <w:rsid w:val="64E4E456"/>
    <w:rsid w:val="64F26496"/>
    <w:rsid w:val="6502ABA6"/>
    <w:rsid w:val="651886FC"/>
    <w:rsid w:val="655737D5"/>
    <w:rsid w:val="65A7060F"/>
    <w:rsid w:val="664CF9E6"/>
    <w:rsid w:val="66692FAA"/>
    <w:rsid w:val="66728B0D"/>
    <w:rsid w:val="66780F8A"/>
    <w:rsid w:val="6690D7BF"/>
    <w:rsid w:val="66C888BA"/>
    <w:rsid w:val="66D93D4B"/>
    <w:rsid w:val="66E4D53A"/>
    <w:rsid w:val="670159A4"/>
    <w:rsid w:val="671EF026"/>
    <w:rsid w:val="672ABE33"/>
    <w:rsid w:val="673F585A"/>
    <w:rsid w:val="6760520C"/>
    <w:rsid w:val="679819E4"/>
    <w:rsid w:val="679B4CBE"/>
    <w:rsid w:val="67C03008"/>
    <w:rsid w:val="67C9D6BA"/>
    <w:rsid w:val="67E6718B"/>
    <w:rsid w:val="67EED1BC"/>
    <w:rsid w:val="67FB1991"/>
    <w:rsid w:val="680F647E"/>
    <w:rsid w:val="683A6B8B"/>
    <w:rsid w:val="683C2DA3"/>
    <w:rsid w:val="688D71D8"/>
    <w:rsid w:val="6894F775"/>
    <w:rsid w:val="6895267C"/>
    <w:rsid w:val="68970B0B"/>
    <w:rsid w:val="68E47829"/>
    <w:rsid w:val="68F044AE"/>
    <w:rsid w:val="692A8E2A"/>
    <w:rsid w:val="693197AF"/>
    <w:rsid w:val="694831AD"/>
    <w:rsid w:val="69488A08"/>
    <w:rsid w:val="694D8C0D"/>
    <w:rsid w:val="696F20E3"/>
    <w:rsid w:val="696FBBE6"/>
    <w:rsid w:val="69AF0C05"/>
    <w:rsid w:val="69CB6671"/>
    <w:rsid w:val="69D48AB7"/>
    <w:rsid w:val="6A25FB65"/>
    <w:rsid w:val="6A4E2DCA"/>
    <w:rsid w:val="6A866FD6"/>
    <w:rsid w:val="6A8B14E6"/>
    <w:rsid w:val="6AB35A16"/>
    <w:rsid w:val="6ABE5EB5"/>
    <w:rsid w:val="6ADD7E86"/>
    <w:rsid w:val="6ADDF367"/>
    <w:rsid w:val="6AEA68DF"/>
    <w:rsid w:val="6B2AFD84"/>
    <w:rsid w:val="6B3609A2"/>
    <w:rsid w:val="6B502639"/>
    <w:rsid w:val="6B86398A"/>
    <w:rsid w:val="6BAA9B3A"/>
    <w:rsid w:val="6BD4C4CF"/>
    <w:rsid w:val="6C0869F0"/>
    <w:rsid w:val="6C273261"/>
    <w:rsid w:val="6C2C07F2"/>
    <w:rsid w:val="6C2E685E"/>
    <w:rsid w:val="6C3DA8E1"/>
    <w:rsid w:val="6C424379"/>
    <w:rsid w:val="6CAD8FA9"/>
    <w:rsid w:val="6CCAFBC5"/>
    <w:rsid w:val="6CE04C09"/>
    <w:rsid w:val="6D0B76F5"/>
    <w:rsid w:val="6D1A77F6"/>
    <w:rsid w:val="6D21F371"/>
    <w:rsid w:val="6D293FDC"/>
    <w:rsid w:val="6D37F922"/>
    <w:rsid w:val="6DD536BE"/>
    <w:rsid w:val="6DDF5B5C"/>
    <w:rsid w:val="6E3F499A"/>
    <w:rsid w:val="6E4749E1"/>
    <w:rsid w:val="6E92B48B"/>
    <w:rsid w:val="6E9C7AAC"/>
    <w:rsid w:val="6F06A748"/>
    <w:rsid w:val="6F1994C2"/>
    <w:rsid w:val="6F638417"/>
    <w:rsid w:val="6F71D2DB"/>
    <w:rsid w:val="6FA42751"/>
    <w:rsid w:val="6FB67779"/>
    <w:rsid w:val="6FECAB57"/>
    <w:rsid w:val="70248F47"/>
    <w:rsid w:val="702D57DF"/>
    <w:rsid w:val="70476CE1"/>
    <w:rsid w:val="70514EC8"/>
    <w:rsid w:val="706E9A62"/>
    <w:rsid w:val="70B2D6D8"/>
    <w:rsid w:val="70C59E02"/>
    <w:rsid w:val="70C81CA6"/>
    <w:rsid w:val="711784D4"/>
    <w:rsid w:val="715A86A3"/>
    <w:rsid w:val="715D14FB"/>
    <w:rsid w:val="716D6F4A"/>
    <w:rsid w:val="7171D37C"/>
    <w:rsid w:val="718BA45E"/>
    <w:rsid w:val="71B5A275"/>
    <w:rsid w:val="71D43B7F"/>
    <w:rsid w:val="71F7A82C"/>
    <w:rsid w:val="71F867B8"/>
    <w:rsid w:val="720D1606"/>
    <w:rsid w:val="72558164"/>
    <w:rsid w:val="7298FC11"/>
    <w:rsid w:val="72A3FBAC"/>
    <w:rsid w:val="731346C5"/>
    <w:rsid w:val="7329A29E"/>
    <w:rsid w:val="7342869B"/>
    <w:rsid w:val="73829119"/>
    <w:rsid w:val="73D54BB9"/>
    <w:rsid w:val="740063EC"/>
    <w:rsid w:val="740765C0"/>
    <w:rsid w:val="749E06AC"/>
    <w:rsid w:val="74DB3B70"/>
    <w:rsid w:val="74EEB22F"/>
    <w:rsid w:val="74FFEF37"/>
    <w:rsid w:val="751B9E7F"/>
    <w:rsid w:val="753CACE7"/>
    <w:rsid w:val="7559C5CF"/>
    <w:rsid w:val="755B7A67"/>
    <w:rsid w:val="7566EF1D"/>
    <w:rsid w:val="75BA4311"/>
    <w:rsid w:val="75E689D2"/>
    <w:rsid w:val="75F0C4C2"/>
    <w:rsid w:val="7621C45D"/>
    <w:rsid w:val="76448711"/>
    <w:rsid w:val="76502F55"/>
    <w:rsid w:val="765E66F6"/>
    <w:rsid w:val="768F9D40"/>
    <w:rsid w:val="76A776FC"/>
    <w:rsid w:val="77555981"/>
    <w:rsid w:val="777028C2"/>
    <w:rsid w:val="777B7EBD"/>
    <w:rsid w:val="77B4443D"/>
    <w:rsid w:val="77CDE964"/>
    <w:rsid w:val="77DC2C06"/>
    <w:rsid w:val="77EF3B89"/>
    <w:rsid w:val="781918EB"/>
    <w:rsid w:val="7853ACD1"/>
    <w:rsid w:val="78B35041"/>
    <w:rsid w:val="78C2D2CF"/>
    <w:rsid w:val="78DCF631"/>
    <w:rsid w:val="78EDBF55"/>
    <w:rsid w:val="78F69218"/>
    <w:rsid w:val="7929E606"/>
    <w:rsid w:val="794E271A"/>
    <w:rsid w:val="79589AA9"/>
    <w:rsid w:val="797782E9"/>
    <w:rsid w:val="79846415"/>
    <w:rsid w:val="79D49DB9"/>
    <w:rsid w:val="79DBA2A6"/>
    <w:rsid w:val="79E25D5C"/>
    <w:rsid w:val="79EC6C62"/>
    <w:rsid w:val="7A0E184C"/>
    <w:rsid w:val="7A2394F1"/>
    <w:rsid w:val="7A4D800C"/>
    <w:rsid w:val="7A94FD19"/>
    <w:rsid w:val="7AE19385"/>
    <w:rsid w:val="7B193383"/>
    <w:rsid w:val="7B4CD8F3"/>
    <w:rsid w:val="7B5875BA"/>
    <w:rsid w:val="7B5D6751"/>
    <w:rsid w:val="7B60C0C9"/>
    <w:rsid w:val="7B90125F"/>
    <w:rsid w:val="7BBE6017"/>
    <w:rsid w:val="7BD0547B"/>
    <w:rsid w:val="7BDEB8E0"/>
    <w:rsid w:val="7BFFF70C"/>
    <w:rsid w:val="7C115B3A"/>
    <w:rsid w:val="7C123E3F"/>
    <w:rsid w:val="7C20FF19"/>
    <w:rsid w:val="7C248C6D"/>
    <w:rsid w:val="7C770C87"/>
    <w:rsid w:val="7C7B11D2"/>
    <w:rsid w:val="7C7B95F0"/>
    <w:rsid w:val="7C7C9B16"/>
    <w:rsid w:val="7C83ADE9"/>
    <w:rsid w:val="7CB7397F"/>
    <w:rsid w:val="7CCE7922"/>
    <w:rsid w:val="7D07ECFE"/>
    <w:rsid w:val="7D1926B1"/>
    <w:rsid w:val="7D48DAB9"/>
    <w:rsid w:val="7D4DD44B"/>
    <w:rsid w:val="7D6FA7EF"/>
    <w:rsid w:val="7D7355C3"/>
    <w:rsid w:val="7D865406"/>
    <w:rsid w:val="7DA4B1B1"/>
    <w:rsid w:val="7DA9C6BA"/>
    <w:rsid w:val="7DB51B4B"/>
    <w:rsid w:val="7DCA556E"/>
    <w:rsid w:val="7DCF47DD"/>
    <w:rsid w:val="7DEC1767"/>
    <w:rsid w:val="7E180560"/>
    <w:rsid w:val="7E1D5D06"/>
    <w:rsid w:val="7E4E21E9"/>
    <w:rsid w:val="7E4FEE46"/>
    <w:rsid w:val="7E51217B"/>
    <w:rsid w:val="7E7521EB"/>
    <w:rsid w:val="7E7E00C9"/>
    <w:rsid w:val="7EA0BFE3"/>
    <w:rsid w:val="7EE363B1"/>
    <w:rsid w:val="7F1D6902"/>
    <w:rsid w:val="7F293C2C"/>
    <w:rsid w:val="7F3B5075"/>
    <w:rsid w:val="7F56E07B"/>
    <w:rsid w:val="7F6516FD"/>
    <w:rsid w:val="7F678F38"/>
    <w:rsid w:val="7F7D25CC"/>
    <w:rsid w:val="7FB8AB37"/>
    <w:rsid w:val="7FBF44A8"/>
    <w:rsid w:val="7FCCF99C"/>
    <w:rsid w:val="7FD6BA6F"/>
    <w:rsid w:val="800BDFF3"/>
    <w:rsid w:val="8021721C"/>
    <w:rsid w:val="805EF6B2"/>
    <w:rsid w:val="8063559F"/>
    <w:rsid w:val="80763B25"/>
    <w:rsid w:val="80D4BA25"/>
    <w:rsid w:val="80DF007D"/>
    <w:rsid w:val="81102153"/>
    <w:rsid w:val="811FAE44"/>
    <w:rsid w:val="81308BB0"/>
    <w:rsid w:val="81454841"/>
    <w:rsid w:val="816EC0EF"/>
    <w:rsid w:val="8186587D"/>
    <w:rsid w:val="818AD67F"/>
    <w:rsid w:val="81992888"/>
    <w:rsid w:val="81B418F5"/>
    <w:rsid w:val="820D5BCA"/>
    <w:rsid w:val="821A00F6"/>
    <w:rsid w:val="822E9575"/>
    <w:rsid w:val="822F0C46"/>
    <w:rsid w:val="824233A1"/>
    <w:rsid w:val="824448B8"/>
    <w:rsid w:val="8249A79D"/>
    <w:rsid w:val="82A61ED0"/>
    <w:rsid w:val="82C0E709"/>
    <w:rsid w:val="82D74439"/>
    <w:rsid w:val="82F83D46"/>
    <w:rsid w:val="830BD578"/>
    <w:rsid w:val="830D0FF3"/>
    <w:rsid w:val="832D9DC3"/>
    <w:rsid w:val="832EB755"/>
    <w:rsid w:val="834370F7"/>
    <w:rsid w:val="835199E7"/>
    <w:rsid w:val="83CC8CE1"/>
    <w:rsid w:val="83FC9994"/>
    <w:rsid w:val="8422B4DC"/>
    <w:rsid w:val="8471BC71"/>
    <w:rsid w:val="84A077CD"/>
    <w:rsid w:val="84AF5998"/>
    <w:rsid w:val="84D34EA4"/>
    <w:rsid w:val="84DB740E"/>
    <w:rsid w:val="84F198FB"/>
    <w:rsid w:val="8540BC76"/>
    <w:rsid w:val="85451BCE"/>
    <w:rsid w:val="856002E6"/>
    <w:rsid w:val="8572F5E4"/>
    <w:rsid w:val="857E6BA6"/>
    <w:rsid w:val="85D90191"/>
    <w:rsid w:val="85E9AF10"/>
    <w:rsid w:val="86480AE7"/>
    <w:rsid w:val="86484CD1"/>
    <w:rsid w:val="865459F7"/>
    <w:rsid w:val="86585906"/>
    <w:rsid w:val="86682E3C"/>
    <w:rsid w:val="8682C7B5"/>
    <w:rsid w:val="86905101"/>
    <w:rsid w:val="86C65517"/>
    <w:rsid w:val="8711A08B"/>
    <w:rsid w:val="8790B793"/>
    <w:rsid w:val="879B1B11"/>
    <w:rsid w:val="87F318E0"/>
    <w:rsid w:val="87F33DFE"/>
    <w:rsid w:val="87F38B6E"/>
    <w:rsid w:val="88103A09"/>
    <w:rsid w:val="883897D9"/>
    <w:rsid w:val="8868BC80"/>
    <w:rsid w:val="88C5B499"/>
    <w:rsid w:val="88CE7B7B"/>
    <w:rsid w:val="88D2529B"/>
    <w:rsid w:val="88EEBE15"/>
    <w:rsid w:val="88FE6C01"/>
    <w:rsid w:val="890440E4"/>
    <w:rsid w:val="89055F09"/>
    <w:rsid w:val="890B781C"/>
    <w:rsid w:val="890E2B77"/>
    <w:rsid w:val="892D1DAA"/>
    <w:rsid w:val="8944D748"/>
    <w:rsid w:val="89614AD4"/>
    <w:rsid w:val="898E30F2"/>
    <w:rsid w:val="899233BC"/>
    <w:rsid w:val="89A49887"/>
    <w:rsid w:val="89AACCE5"/>
    <w:rsid w:val="89B13E23"/>
    <w:rsid w:val="89E2C6DA"/>
    <w:rsid w:val="8A240239"/>
    <w:rsid w:val="8A75F357"/>
    <w:rsid w:val="8AACE0E4"/>
    <w:rsid w:val="8AAD5977"/>
    <w:rsid w:val="8ACCDC67"/>
    <w:rsid w:val="8AEFF2C3"/>
    <w:rsid w:val="8B35228E"/>
    <w:rsid w:val="8B46A4C0"/>
    <w:rsid w:val="8B4D6EB0"/>
    <w:rsid w:val="8B653FEB"/>
    <w:rsid w:val="8BA5D675"/>
    <w:rsid w:val="8BE2E370"/>
    <w:rsid w:val="8BF418E4"/>
    <w:rsid w:val="8C0B7370"/>
    <w:rsid w:val="8C0E0838"/>
    <w:rsid w:val="8C32A956"/>
    <w:rsid w:val="8C3E1FA0"/>
    <w:rsid w:val="8C4FE5AF"/>
    <w:rsid w:val="8C503D61"/>
    <w:rsid w:val="8C50575A"/>
    <w:rsid w:val="8C7459ED"/>
    <w:rsid w:val="8CA506BB"/>
    <w:rsid w:val="8CB80677"/>
    <w:rsid w:val="8CDCBC77"/>
    <w:rsid w:val="8D1BBE13"/>
    <w:rsid w:val="8D3A5917"/>
    <w:rsid w:val="8D4FAC0C"/>
    <w:rsid w:val="8D784D1B"/>
    <w:rsid w:val="8DDBC26D"/>
    <w:rsid w:val="8DF8DD70"/>
    <w:rsid w:val="8E279898"/>
    <w:rsid w:val="8E3D1C90"/>
    <w:rsid w:val="8E4FD91B"/>
    <w:rsid w:val="8E5405BC"/>
    <w:rsid w:val="8E6E2F2D"/>
    <w:rsid w:val="8EAFCB94"/>
    <w:rsid w:val="8EB21499"/>
    <w:rsid w:val="8EC521B5"/>
    <w:rsid w:val="8EC8B20B"/>
    <w:rsid w:val="8ECE17D7"/>
    <w:rsid w:val="8F126A2E"/>
    <w:rsid w:val="8F25A2E6"/>
    <w:rsid w:val="8F73DC9B"/>
    <w:rsid w:val="8FBC2687"/>
    <w:rsid w:val="8FE3F393"/>
    <w:rsid w:val="8FF99CD4"/>
    <w:rsid w:val="9016BC69"/>
    <w:rsid w:val="9021AE1F"/>
    <w:rsid w:val="90335515"/>
    <w:rsid w:val="90697EE0"/>
    <w:rsid w:val="906D0D96"/>
    <w:rsid w:val="907BF2FB"/>
    <w:rsid w:val="907E9935"/>
    <w:rsid w:val="9096F1B3"/>
    <w:rsid w:val="9105237E"/>
    <w:rsid w:val="9106ABE0"/>
    <w:rsid w:val="912B93A7"/>
    <w:rsid w:val="914AFDD5"/>
    <w:rsid w:val="917CFF45"/>
    <w:rsid w:val="919E1DAB"/>
    <w:rsid w:val="91BDEC58"/>
    <w:rsid w:val="91C5EF6A"/>
    <w:rsid w:val="91EBDC71"/>
    <w:rsid w:val="921AEECC"/>
    <w:rsid w:val="922FE5D3"/>
    <w:rsid w:val="9243BFA4"/>
    <w:rsid w:val="9246C7B6"/>
    <w:rsid w:val="9270B41D"/>
    <w:rsid w:val="92ADE9BC"/>
    <w:rsid w:val="92B319DC"/>
    <w:rsid w:val="92C1C09E"/>
    <w:rsid w:val="92CDBD8D"/>
    <w:rsid w:val="92E25E1D"/>
    <w:rsid w:val="92FF5F0E"/>
    <w:rsid w:val="93408E0B"/>
    <w:rsid w:val="93D7B104"/>
    <w:rsid w:val="93DDE162"/>
    <w:rsid w:val="93F97AC8"/>
    <w:rsid w:val="94192662"/>
    <w:rsid w:val="9432CAFA"/>
    <w:rsid w:val="943FA02B"/>
    <w:rsid w:val="94760713"/>
    <w:rsid w:val="9492E218"/>
    <w:rsid w:val="94EF2190"/>
    <w:rsid w:val="957F1332"/>
    <w:rsid w:val="9582A0F4"/>
    <w:rsid w:val="95839088"/>
    <w:rsid w:val="958C54C8"/>
    <w:rsid w:val="95B5A893"/>
    <w:rsid w:val="95C83282"/>
    <w:rsid w:val="95E12C72"/>
    <w:rsid w:val="95F2F702"/>
    <w:rsid w:val="9601B3A2"/>
    <w:rsid w:val="96B6061A"/>
    <w:rsid w:val="96CDF4ED"/>
    <w:rsid w:val="96F0BAE8"/>
    <w:rsid w:val="970AB7E2"/>
    <w:rsid w:val="970B86FC"/>
    <w:rsid w:val="974FA6C5"/>
    <w:rsid w:val="975FB8BF"/>
    <w:rsid w:val="976A4D5B"/>
    <w:rsid w:val="977C70A1"/>
    <w:rsid w:val="979D4370"/>
    <w:rsid w:val="981B59AE"/>
    <w:rsid w:val="98451FD4"/>
    <w:rsid w:val="9867AB89"/>
    <w:rsid w:val="9869FC44"/>
    <w:rsid w:val="987C5195"/>
    <w:rsid w:val="98910041"/>
    <w:rsid w:val="98B34E5C"/>
    <w:rsid w:val="98F65C3B"/>
    <w:rsid w:val="991BED84"/>
    <w:rsid w:val="9944A799"/>
    <w:rsid w:val="9952995A"/>
    <w:rsid w:val="9957A2B7"/>
    <w:rsid w:val="99613839"/>
    <w:rsid w:val="9966F990"/>
    <w:rsid w:val="996AB0B6"/>
    <w:rsid w:val="996DF31F"/>
    <w:rsid w:val="996F099A"/>
    <w:rsid w:val="99867047"/>
    <w:rsid w:val="99BAC104"/>
    <w:rsid w:val="99C5A3FA"/>
    <w:rsid w:val="99D1F785"/>
    <w:rsid w:val="99D9CBAA"/>
    <w:rsid w:val="99E87DC0"/>
    <w:rsid w:val="9A0DBC1C"/>
    <w:rsid w:val="9A685B74"/>
    <w:rsid w:val="9A694361"/>
    <w:rsid w:val="9A69A5D3"/>
    <w:rsid w:val="9A735216"/>
    <w:rsid w:val="9AAA59E5"/>
    <w:rsid w:val="9AD7A32C"/>
    <w:rsid w:val="9AFC10C3"/>
    <w:rsid w:val="9B4FE50D"/>
    <w:rsid w:val="9B90D6EA"/>
    <w:rsid w:val="9BACAD71"/>
    <w:rsid w:val="9C014D5E"/>
    <w:rsid w:val="9C24C20C"/>
    <w:rsid w:val="9C379D37"/>
    <w:rsid w:val="9C9EF4B1"/>
    <w:rsid w:val="9CC923F4"/>
    <w:rsid w:val="9CCA99F5"/>
    <w:rsid w:val="9CF03436"/>
    <w:rsid w:val="9D211C8E"/>
    <w:rsid w:val="9D3C99C3"/>
    <w:rsid w:val="9D5585E3"/>
    <w:rsid w:val="9D608997"/>
    <w:rsid w:val="9D6D543A"/>
    <w:rsid w:val="9D854C16"/>
    <w:rsid w:val="9DE27ECE"/>
    <w:rsid w:val="9E38A934"/>
    <w:rsid w:val="9E38D251"/>
    <w:rsid w:val="9E48AEDB"/>
    <w:rsid w:val="9E5F443B"/>
    <w:rsid w:val="9E8FBA1F"/>
    <w:rsid w:val="9E9DEEA3"/>
    <w:rsid w:val="9EB9EB4C"/>
    <w:rsid w:val="9F359200"/>
    <w:rsid w:val="9F412487"/>
    <w:rsid w:val="9F448246"/>
    <w:rsid w:val="9F8D3E8A"/>
    <w:rsid w:val="9FA865E9"/>
    <w:rsid w:val="9FE27D22"/>
    <w:rsid w:val="A0160B39"/>
    <w:rsid w:val="A08BE78E"/>
    <w:rsid w:val="A0B37A9B"/>
    <w:rsid w:val="A0BEB22B"/>
    <w:rsid w:val="A0C24F61"/>
    <w:rsid w:val="A0FAE3D8"/>
    <w:rsid w:val="A11E94F4"/>
    <w:rsid w:val="A165376E"/>
    <w:rsid w:val="A1677FC2"/>
    <w:rsid w:val="A1A1D7A2"/>
    <w:rsid w:val="A1A9022F"/>
    <w:rsid w:val="A1BB04C8"/>
    <w:rsid w:val="A1D03058"/>
    <w:rsid w:val="A1DBCD88"/>
    <w:rsid w:val="A2491CC1"/>
    <w:rsid w:val="A261741B"/>
    <w:rsid w:val="A26AD978"/>
    <w:rsid w:val="A27B7093"/>
    <w:rsid w:val="A2A9C7E9"/>
    <w:rsid w:val="A2C012E5"/>
    <w:rsid w:val="A2F69BA9"/>
    <w:rsid w:val="A307295F"/>
    <w:rsid w:val="A3205684"/>
    <w:rsid w:val="A339347D"/>
    <w:rsid w:val="A34F653C"/>
    <w:rsid w:val="A35A8CB0"/>
    <w:rsid w:val="A3667051"/>
    <w:rsid w:val="A38A1478"/>
    <w:rsid w:val="A391FCB2"/>
    <w:rsid w:val="A3CAE30E"/>
    <w:rsid w:val="A41D2B63"/>
    <w:rsid w:val="A44EFE02"/>
    <w:rsid w:val="A464C1F5"/>
    <w:rsid w:val="A465F820"/>
    <w:rsid w:val="A4A7B47F"/>
    <w:rsid w:val="A4AC67D5"/>
    <w:rsid w:val="A4B37E06"/>
    <w:rsid w:val="A4CC985F"/>
    <w:rsid w:val="A4D19AC1"/>
    <w:rsid w:val="A4EC6463"/>
    <w:rsid w:val="A4EEEAA3"/>
    <w:rsid w:val="A54392C5"/>
    <w:rsid w:val="A5B23A05"/>
    <w:rsid w:val="A5C95AEA"/>
    <w:rsid w:val="A6106753"/>
    <w:rsid w:val="A64F6A6E"/>
    <w:rsid w:val="A6739AF4"/>
    <w:rsid w:val="A68B58D8"/>
    <w:rsid w:val="A6984586"/>
    <w:rsid w:val="A6A2DFC6"/>
    <w:rsid w:val="A6A43315"/>
    <w:rsid w:val="A6AE6F10"/>
    <w:rsid w:val="A6C81792"/>
    <w:rsid w:val="A6DE7E0E"/>
    <w:rsid w:val="A6EE0736"/>
    <w:rsid w:val="A6F52EC4"/>
    <w:rsid w:val="A70A2EF7"/>
    <w:rsid w:val="A740BEC7"/>
    <w:rsid w:val="A77B22F0"/>
    <w:rsid w:val="A79436E1"/>
    <w:rsid w:val="A79E1928"/>
    <w:rsid w:val="A7A259C7"/>
    <w:rsid w:val="A8018681"/>
    <w:rsid w:val="A83F07C3"/>
    <w:rsid w:val="A8497402"/>
    <w:rsid w:val="A852ABA1"/>
    <w:rsid w:val="A8DC515F"/>
    <w:rsid w:val="A911AA94"/>
    <w:rsid w:val="A9163D41"/>
    <w:rsid w:val="A94BF850"/>
    <w:rsid w:val="A95F8335"/>
    <w:rsid w:val="A9ADA3C9"/>
    <w:rsid w:val="A9C13D5C"/>
    <w:rsid w:val="A9D827D7"/>
    <w:rsid w:val="AA3A4F7D"/>
    <w:rsid w:val="AA7B03FC"/>
    <w:rsid w:val="AA7C9C3B"/>
    <w:rsid w:val="AAA1445B"/>
    <w:rsid w:val="AAA5A665"/>
    <w:rsid w:val="AAA908C2"/>
    <w:rsid w:val="AAC4BF1B"/>
    <w:rsid w:val="AAC65D82"/>
    <w:rsid w:val="AAE77FA1"/>
    <w:rsid w:val="AB0628F6"/>
    <w:rsid w:val="AB0BB089"/>
    <w:rsid w:val="AB131FBB"/>
    <w:rsid w:val="AB49FB26"/>
    <w:rsid w:val="AB4EE89D"/>
    <w:rsid w:val="AB5C4613"/>
    <w:rsid w:val="AB79EC7B"/>
    <w:rsid w:val="AB96192E"/>
    <w:rsid w:val="ABB99BB3"/>
    <w:rsid w:val="ABC2E700"/>
    <w:rsid w:val="ABD7B096"/>
    <w:rsid w:val="ABDAFF86"/>
    <w:rsid w:val="ABDC034A"/>
    <w:rsid w:val="AC4EE7B5"/>
    <w:rsid w:val="AC587F3B"/>
    <w:rsid w:val="AC6CB9C5"/>
    <w:rsid w:val="AC738870"/>
    <w:rsid w:val="ACBE114A"/>
    <w:rsid w:val="ACC1398E"/>
    <w:rsid w:val="ACE389C5"/>
    <w:rsid w:val="AD038FF5"/>
    <w:rsid w:val="AD6C9A7E"/>
    <w:rsid w:val="AD8AFBE8"/>
    <w:rsid w:val="AD9733A2"/>
    <w:rsid w:val="ADA66F86"/>
    <w:rsid w:val="ADAC4BBE"/>
    <w:rsid w:val="ADB91BBB"/>
    <w:rsid w:val="ADC5FD6B"/>
    <w:rsid w:val="ADC98CA3"/>
    <w:rsid w:val="ADCC0C6A"/>
    <w:rsid w:val="ADE169FF"/>
    <w:rsid w:val="AE47EAB1"/>
    <w:rsid w:val="AE50D396"/>
    <w:rsid w:val="AE7189B1"/>
    <w:rsid w:val="AE95F1AF"/>
    <w:rsid w:val="AEA737F6"/>
    <w:rsid w:val="AEAE9951"/>
    <w:rsid w:val="AEC8EBD1"/>
    <w:rsid w:val="AED2B209"/>
    <w:rsid w:val="AF0362A4"/>
    <w:rsid w:val="AF08D9F6"/>
    <w:rsid w:val="AF173BBA"/>
    <w:rsid w:val="AF396F82"/>
    <w:rsid w:val="AF55BD9C"/>
    <w:rsid w:val="AF5CC975"/>
    <w:rsid w:val="AF7449DF"/>
    <w:rsid w:val="AFBA4F77"/>
    <w:rsid w:val="AFE5B87A"/>
    <w:rsid w:val="AFFD5D0B"/>
    <w:rsid w:val="B02112B4"/>
    <w:rsid w:val="B06E499B"/>
    <w:rsid w:val="B08957FF"/>
    <w:rsid w:val="B0BA219B"/>
    <w:rsid w:val="B0BEAFB8"/>
    <w:rsid w:val="B0C9BBBE"/>
    <w:rsid w:val="B0DE198F"/>
    <w:rsid w:val="B0ED1063"/>
    <w:rsid w:val="B10442C7"/>
    <w:rsid w:val="B13A5CFE"/>
    <w:rsid w:val="B19AF962"/>
    <w:rsid w:val="B1A5CB4C"/>
    <w:rsid w:val="B1D960E1"/>
    <w:rsid w:val="B2469E55"/>
    <w:rsid w:val="B2B7ED6C"/>
    <w:rsid w:val="B2BE2E7F"/>
    <w:rsid w:val="B30FBEDC"/>
    <w:rsid w:val="B31A55F4"/>
    <w:rsid w:val="B34A2E00"/>
    <w:rsid w:val="B380C5D6"/>
    <w:rsid w:val="B3B6C806"/>
    <w:rsid w:val="B3F00795"/>
    <w:rsid w:val="B41E0C73"/>
    <w:rsid w:val="B42A600B"/>
    <w:rsid w:val="B43B5D86"/>
    <w:rsid w:val="B447A1DC"/>
    <w:rsid w:val="B4665CEE"/>
    <w:rsid w:val="B46B6194"/>
    <w:rsid w:val="B47BE9A4"/>
    <w:rsid w:val="B482100B"/>
    <w:rsid w:val="B48DD3BD"/>
    <w:rsid w:val="B4B6217D"/>
    <w:rsid w:val="B4E86785"/>
    <w:rsid w:val="B4FF6C0F"/>
    <w:rsid w:val="B50FA4E3"/>
    <w:rsid w:val="B518FAC6"/>
    <w:rsid w:val="B54B3B0F"/>
    <w:rsid w:val="B5A0D39E"/>
    <w:rsid w:val="B5DF40F6"/>
    <w:rsid w:val="B5E63B22"/>
    <w:rsid w:val="B5E7626B"/>
    <w:rsid w:val="B60D34E2"/>
    <w:rsid w:val="B6229F60"/>
    <w:rsid w:val="B6402355"/>
    <w:rsid w:val="B64CB3B7"/>
    <w:rsid w:val="B6578972"/>
    <w:rsid w:val="B65E7AF9"/>
    <w:rsid w:val="B68F63AA"/>
    <w:rsid w:val="B6A83942"/>
    <w:rsid w:val="B6B09F62"/>
    <w:rsid w:val="B6BF3762"/>
    <w:rsid w:val="B6F4E4B9"/>
    <w:rsid w:val="B72E3708"/>
    <w:rsid w:val="B75CD6F0"/>
    <w:rsid w:val="B7642EC5"/>
    <w:rsid w:val="B7A0E0C3"/>
    <w:rsid w:val="B8159227"/>
    <w:rsid w:val="B831CE40"/>
    <w:rsid w:val="B832D11B"/>
    <w:rsid w:val="B8794059"/>
    <w:rsid w:val="B87C42FA"/>
    <w:rsid w:val="B88558E7"/>
    <w:rsid w:val="B8C7C13B"/>
    <w:rsid w:val="B8CFBA58"/>
    <w:rsid w:val="B8DDA2A9"/>
    <w:rsid w:val="B8ED94E1"/>
    <w:rsid w:val="B8F59B27"/>
    <w:rsid w:val="B8FFB66C"/>
    <w:rsid w:val="B900925B"/>
    <w:rsid w:val="B90DF34F"/>
    <w:rsid w:val="B9120AAE"/>
    <w:rsid w:val="B931036F"/>
    <w:rsid w:val="B935A154"/>
    <w:rsid w:val="B93B5E9B"/>
    <w:rsid w:val="B9495967"/>
    <w:rsid w:val="B9507427"/>
    <w:rsid w:val="B956B036"/>
    <w:rsid w:val="B9722241"/>
    <w:rsid w:val="B9856ADB"/>
    <w:rsid w:val="B9AC0EAC"/>
    <w:rsid w:val="B9DB1C79"/>
    <w:rsid w:val="BA118FD8"/>
    <w:rsid w:val="BAE1C181"/>
    <w:rsid w:val="BAE3880B"/>
    <w:rsid w:val="BAF6D3A6"/>
    <w:rsid w:val="BAF74700"/>
    <w:rsid w:val="BB3792BB"/>
    <w:rsid w:val="BB401843"/>
    <w:rsid w:val="BB443EEB"/>
    <w:rsid w:val="BB4E06E1"/>
    <w:rsid w:val="BB55579E"/>
    <w:rsid w:val="BB9251D3"/>
    <w:rsid w:val="BBCE7F25"/>
    <w:rsid w:val="BBD9FD3F"/>
    <w:rsid w:val="BC59D333"/>
    <w:rsid w:val="BC60F4D0"/>
    <w:rsid w:val="BC7F61F4"/>
    <w:rsid w:val="BCA01384"/>
    <w:rsid w:val="BCE58839"/>
    <w:rsid w:val="BD408418"/>
    <w:rsid w:val="BDA0E5BD"/>
    <w:rsid w:val="BDA77457"/>
    <w:rsid w:val="BDBAAB4D"/>
    <w:rsid w:val="BDC58CF5"/>
    <w:rsid w:val="BDC77A29"/>
    <w:rsid w:val="BDC7D3D3"/>
    <w:rsid w:val="BE0C215C"/>
    <w:rsid w:val="BE5BED05"/>
    <w:rsid w:val="BE5CBBA6"/>
    <w:rsid w:val="BEE5FD2E"/>
    <w:rsid w:val="BEE91F2C"/>
    <w:rsid w:val="BEE9E352"/>
    <w:rsid w:val="BF0EF2F4"/>
    <w:rsid w:val="BF3E7BB0"/>
    <w:rsid w:val="BF4274EC"/>
    <w:rsid w:val="BF7BBD96"/>
    <w:rsid w:val="BFB35ADE"/>
    <w:rsid w:val="BFC13431"/>
    <w:rsid w:val="BFD08AEA"/>
    <w:rsid w:val="C006CC9D"/>
    <w:rsid w:val="C01E6EB5"/>
    <w:rsid w:val="C030EC92"/>
    <w:rsid w:val="C059E86F"/>
    <w:rsid w:val="C069EDD2"/>
    <w:rsid w:val="C08C94E2"/>
    <w:rsid w:val="C0BF4055"/>
    <w:rsid w:val="C0E5C88D"/>
    <w:rsid w:val="C0E905DE"/>
    <w:rsid w:val="C1340F9B"/>
    <w:rsid w:val="C1935419"/>
    <w:rsid w:val="C1A8B0D6"/>
    <w:rsid w:val="C1CD42C5"/>
    <w:rsid w:val="C1EA4DF5"/>
    <w:rsid w:val="C1EBFC91"/>
    <w:rsid w:val="C201C9FA"/>
    <w:rsid w:val="C206D7C0"/>
    <w:rsid w:val="C2133372"/>
    <w:rsid w:val="C21F290A"/>
    <w:rsid w:val="C2215D08"/>
    <w:rsid w:val="C24ECD5F"/>
    <w:rsid w:val="C25BE141"/>
    <w:rsid w:val="C274049B"/>
    <w:rsid w:val="C296EC90"/>
    <w:rsid w:val="C2A4B397"/>
    <w:rsid w:val="C2B46524"/>
    <w:rsid w:val="C2DA7F98"/>
    <w:rsid w:val="C3140E6B"/>
    <w:rsid w:val="C31B1FD2"/>
    <w:rsid w:val="C31F4AA3"/>
    <w:rsid w:val="C320B4E0"/>
    <w:rsid w:val="C32DD8EB"/>
    <w:rsid w:val="C35E9E46"/>
    <w:rsid w:val="C365453A"/>
    <w:rsid w:val="C39376EE"/>
    <w:rsid w:val="C3FC9B2B"/>
    <w:rsid w:val="C3FF2AEF"/>
    <w:rsid w:val="C4284AAE"/>
    <w:rsid w:val="C4540ACD"/>
    <w:rsid w:val="C459A10B"/>
    <w:rsid w:val="C47A3527"/>
    <w:rsid w:val="C47D8BB5"/>
    <w:rsid w:val="C4E96946"/>
    <w:rsid w:val="C4F1A863"/>
    <w:rsid w:val="C50B94B9"/>
    <w:rsid w:val="C56AB7DA"/>
    <w:rsid w:val="C56AF99E"/>
    <w:rsid w:val="C56B7991"/>
    <w:rsid w:val="C591B8CE"/>
    <w:rsid w:val="C59A09B0"/>
    <w:rsid w:val="C5B105C6"/>
    <w:rsid w:val="C5D23274"/>
    <w:rsid w:val="C6369C25"/>
    <w:rsid w:val="C65D1514"/>
    <w:rsid w:val="C68145B1"/>
    <w:rsid w:val="C6852BEA"/>
    <w:rsid w:val="C6858B71"/>
    <w:rsid w:val="C6956621"/>
    <w:rsid w:val="C6A59E77"/>
    <w:rsid w:val="C6A9484D"/>
    <w:rsid w:val="C6F1F4B0"/>
    <w:rsid w:val="C7049D8B"/>
    <w:rsid w:val="C7273E49"/>
    <w:rsid w:val="C732E4A4"/>
    <w:rsid w:val="C7341625"/>
    <w:rsid w:val="C7427054"/>
    <w:rsid w:val="C7477D1D"/>
    <w:rsid w:val="C760FA7B"/>
    <w:rsid w:val="C784F960"/>
    <w:rsid w:val="C78519D0"/>
    <w:rsid w:val="C7B0BE0F"/>
    <w:rsid w:val="C7BB8618"/>
    <w:rsid w:val="C7C7683D"/>
    <w:rsid w:val="C7DE6BAB"/>
    <w:rsid w:val="C7FBD423"/>
    <w:rsid w:val="C7FD2663"/>
    <w:rsid w:val="C8097481"/>
    <w:rsid w:val="C82BEDB4"/>
    <w:rsid w:val="C83F2C54"/>
    <w:rsid w:val="C8414CF0"/>
    <w:rsid w:val="C89D0F29"/>
    <w:rsid w:val="C8A975C1"/>
    <w:rsid w:val="C8C72959"/>
    <w:rsid w:val="C9260645"/>
    <w:rsid w:val="C92F6C42"/>
    <w:rsid w:val="C931E5E1"/>
    <w:rsid w:val="C93419E0"/>
    <w:rsid w:val="C93F3CCF"/>
    <w:rsid w:val="C976F546"/>
    <w:rsid w:val="C97E3865"/>
    <w:rsid w:val="C99C197F"/>
    <w:rsid w:val="C9B2A07C"/>
    <w:rsid w:val="C9BA8CA5"/>
    <w:rsid w:val="CA0221CF"/>
    <w:rsid w:val="CA0C9352"/>
    <w:rsid w:val="CA1FCCB8"/>
    <w:rsid w:val="CA201887"/>
    <w:rsid w:val="CA3AD671"/>
    <w:rsid w:val="CA55109E"/>
    <w:rsid w:val="CA8817CF"/>
    <w:rsid w:val="CAA16284"/>
    <w:rsid w:val="CAC71CD5"/>
    <w:rsid w:val="CAF329DE"/>
    <w:rsid w:val="CAF8D888"/>
    <w:rsid w:val="CB1E5204"/>
    <w:rsid w:val="CB717591"/>
    <w:rsid w:val="CB7A2747"/>
    <w:rsid w:val="CB8E5A55"/>
    <w:rsid w:val="CBAA6742"/>
    <w:rsid w:val="CBB6699F"/>
    <w:rsid w:val="CC0E3774"/>
    <w:rsid w:val="CC28EFD1"/>
    <w:rsid w:val="CC55A009"/>
    <w:rsid w:val="CC83EB58"/>
    <w:rsid w:val="CCC18264"/>
    <w:rsid w:val="CCC9D386"/>
    <w:rsid w:val="CCE061F3"/>
    <w:rsid w:val="CD066844"/>
    <w:rsid w:val="CD0E4A62"/>
    <w:rsid w:val="CD1FB388"/>
    <w:rsid w:val="CD301159"/>
    <w:rsid w:val="CD4D2955"/>
    <w:rsid w:val="CE4D9365"/>
    <w:rsid w:val="CEB8B28F"/>
    <w:rsid w:val="CEF5ECA3"/>
    <w:rsid w:val="CF395745"/>
    <w:rsid w:val="CFB40BA4"/>
    <w:rsid w:val="CFB7E429"/>
    <w:rsid w:val="CFC9C2C0"/>
    <w:rsid w:val="CFE2817C"/>
    <w:rsid w:val="D06DB0F7"/>
    <w:rsid w:val="D0AFF0CE"/>
    <w:rsid w:val="D0C4FB34"/>
    <w:rsid w:val="D0D66B3C"/>
    <w:rsid w:val="D0DD777D"/>
    <w:rsid w:val="D10C25E8"/>
    <w:rsid w:val="D13E6448"/>
    <w:rsid w:val="D168DFEF"/>
    <w:rsid w:val="D18503BC"/>
    <w:rsid w:val="D18E5412"/>
    <w:rsid w:val="D1BB6068"/>
    <w:rsid w:val="D21B222F"/>
    <w:rsid w:val="D21E2C2A"/>
    <w:rsid w:val="D2222EE0"/>
    <w:rsid w:val="D26B3AE9"/>
    <w:rsid w:val="D2BA2006"/>
    <w:rsid w:val="D2C7A932"/>
    <w:rsid w:val="D2D16E89"/>
    <w:rsid w:val="D305242A"/>
    <w:rsid w:val="D336DFE5"/>
    <w:rsid w:val="D34FB20E"/>
    <w:rsid w:val="D3546D45"/>
    <w:rsid w:val="D36E02B4"/>
    <w:rsid w:val="D3E8EE22"/>
    <w:rsid w:val="D3F79E48"/>
    <w:rsid w:val="D4072FDF"/>
    <w:rsid w:val="D41E452D"/>
    <w:rsid w:val="D42956B3"/>
    <w:rsid w:val="D4A898BB"/>
    <w:rsid w:val="D4B179AB"/>
    <w:rsid w:val="D4BF6563"/>
    <w:rsid w:val="D4FB8295"/>
    <w:rsid w:val="D50AEDD7"/>
    <w:rsid w:val="D5598B7F"/>
    <w:rsid w:val="D575E28D"/>
    <w:rsid w:val="D57E6EA4"/>
    <w:rsid w:val="D598574B"/>
    <w:rsid w:val="D5DC870B"/>
    <w:rsid w:val="D5DD2CF3"/>
    <w:rsid w:val="D5DFB737"/>
    <w:rsid w:val="D610A9D1"/>
    <w:rsid w:val="D61E7DBB"/>
    <w:rsid w:val="D62F46B5"/>
    <w:rsid w:val="D642B6FC"/>
    <w:rsid w:val="D67C03B4"/>
    <w:rsid w:val="D69556CD"/>
    <w:rsid w:val="D6C75713"/>
    <w:rsid w:val="D6D4D485"/>
    <w:rsid w:val="D6D9BD4F"/>
    <w:rsid w:val="D6EB38A6"/>
    <w:rsid w:val="D6F3AFD8"/>
    <w:rsid w:val="D712CCB1"/>
    <w:rsid w:val="D71B13B5"/>
    <w:rsid w:val="D7916B62"/>
    <w:rsid w:val="D79E67F2"/>
    <w:rsid w:val="D7C2B6A6"/>
    <w:rsid w:val="D7C443AA"/>
    <w:rsid w:val="D7F0B13D"/>
    <w:rsid w:val="D7FB6009"/>
    <w:rsid w:val="D806B76A"/>
    <w:rsid w:val="D8078056"/>
    <w:rsid w:val="D829469B"/>
    <w:rsid w:val="D82EA608"/>
    <w:rsid w:val="D85466F7"/>
    <w:rsid w:val="D878790F"/>
    <w:rsid w:val="D8DBEC68"/>
    <w:rsid w:val="D8F55EBA"/>
    <w:rsid w:val="D96171E3"/>
    <w:rsid w:val="D9673E19"/>
    <w:rsid w:val="D98E9F75"/>
    <w:rsid w:val="D9958181"/>
    <w:rsid w:val="D9AC06B2"/>
    <w:rsid w:val="DA028BEB"/>
    <w:rsid w:val="DA191ECF"/>
    <w:rsid w:val="DA27F573"/>
    <w:rsid w:val="DA2C8F3F"/>
    <w:rsid w:val="DA68458C"/>
    <w:rsid w:val="DA7D7BA3"/>
    <w:rsid w:val="DA88031F"/>
    <w:rsid w:val="DA8A9B09"/>
    <w:rsid w:val="DAB3F860"/>
    <w:rsid w:val="DB570C9E"/>
    <w:rsid w:val="DB646A14"/>
    <w:rsid w:val="DB980D64"/>
    <w:rsid w:val="DB98BE91"/>
    <w:rsid w:val="DBDA498F"/>
    <w:rsid w:val="DBE20F89"/>
    <w:rsid w:val="DC156AF7"/>
    <w:rsid w:val="DC2EF4EF"/>
    <w:rsid w:val="DC4ACC6E"/>
    <w:rsid w:val="DC4DFCAE"/>
    <w:rsid w:val="DC501A92"/>
    <w:rsid w:val="DC83E6B3"/>
    <w:rsid w:val="DCEB9688"/>
    <w:rsid w:val="DD0552F1"/>
    <w:rsid w:val="DD23A9F4"/>
    <w:rsid w:val="DD447DFD"/>
    <w:rsid w:val="DD46CAC5"/>
    <w:rsid w:val="DD5B960B"/>
    <w:rsid w:val="DD5E1A4A"/>
    <w:rsid w:val="DD6AD216"/>
    <w:rsid w:val="DD98E275"/>
    <w:rsid w:val="DDA0ABDB"/>
    <w:rsid w:val="DDD55817"/>
    <w:rsid w:val="DDE50F76"/>
    <w:rsid w:val="DE2414FD"/>
    <w:rsid w:val="DE2B0352"/>
    <w:rsid w:val="DE431216"/>
    <w:rsid w:val="DE706B6B"/>
    <w:rsid w:val="DE93071F"/>
    <w:rsid w:val="DE9DD5B4"/>
    <w:rsid w:val="DED67C2A"/>
    <w:rsid w:val="DF5BC57E"/>
    <w:rsid w:val="DF65F33F"/>
    <w:rsid w:val="DF7CD16E"/>
    <w:rsid w:val="DFAEC65B"/>
    <w:rsid w:val="DFD20D19"/>
    <w:rsid w:val="DFD53422"/>
    <w:rsid w:val="DFDE0EC5"/>
    <w:rsid w:val="DFE96E2A"/>
    <w:rsid w:val="E039FD7A"/>
    <w:rsid w:val="E03A3F4A"/>
    <w:rsid w:val="E0415259"/>
    <w:rsid w:val="E098D123"/>
    <w:rsid w:val="E0CB3026"/>
    <w:rsid w:val="E0EA9E9B"/>
    <w:rsid w:val="E1199369"/>
    <w:rsid w:val="E120291E"/>
    <w:rsid w:val="E13D15EF"/>
    <w:rsid w:val="E14D6962"/>
    <w:rsid w:val="E159E6DB"/>
    <w:rsid w:val="E15C1C72"/>
    <w:rsid w:val="E1AE68EA"/>
    <w:rsid w:val="E1B7B211"/>
    <w:rsid w:val="E1BEE195"/>
    <w:rsid w:val="E1C39C1C"/>
    <w:rsid w:val="E21A70DC"/>
    <w:rsid w:val="E24A98AF"/>
    <w:rsid w:val="E25F28AE"/>
    <w:rsid w:val="E28790E6"/>
    <w:rsid w:val="E2B8B399"/>
    <w:rsid w:val="E2CBAA50"/>
    <w:rsid w:val="E2F31CED"/>
    <w:rsid w:val="E30AD5D1"/>
    <w:rsid w:val="E31500D9"/>
    <w:rsid w:val="E32D5980"/>
    <w:rsid w:val="E3927F99"/>
    <w:rsid w:val="E39F1401"/>
    <w:rsid w:val="E3A172FC"/>
    <w:rsid w:val="E3B1DE19"/>
    <w:rsid w:val="E3BC78FF"/>
    <w:rsid w:val="E3C6799D"/>
    <w:rsid w:val="E3E7F8AC"/>
    <w:rsid w:val="E4196B5F"/>
    <w:rsid w:val="E41F8A6B"/>
    <w:rsid w:val="E4482C9D"/>
    <w:rsid w:val="E4567541"/>
    <w:rsid w:val="E464C98E"/>
    <w:rsid w:val="E484D989"/>
    <w:rsid w:val="E4865CA5"/>
    <w:rsid w:val="E4CF8F7A"/>
    <w:rsid w:val="E4F40B74"/>
    <w:rsid w:val="E529F68C"/>
    <w:rsid w:val="E54A42CF"/>
    <w:rsid w:val="E57FCF3C"/>
    <w:rsid w:val="E58A69CD"/>
    <w:rsid w:val="E5AAEE65"/>
    <w:rsid w:val="E5B41A2D"/>
    <w:rsid w:val="E5DDADA0"/>
    <w:rsid w:val="E6079E13"/>
    <w:rsid w:val="E61185D5"/>
    <w:rsid w:val="E6184D03"/>
    <w:rsid w:val="E621A7EC"/>
    <w:rsid w:val="E635FBFB"/>
    <w:rsid w:val="E65236F0"/>
    <w:rsid w:val="E6708A9D"/>
    <w:rsid w:val="E67D841F"/>
    <w:rsid w:val="E67D86F3"/>
    <w:rsid w:val="E6996686"/>
    <w:rsid w:val="E6B03F6F"/>
    <w:rsid w:val="E6FC373A"/>
    <w:rsid w:val="E733896E"/>
    <w:rsid w:val="E73B6518"/>
    <w:rsid w:val="E771C4F7"/>
    <w:rsid w:val="E77B248B"/>
    <w:rsid w:val="E784468F"/>
    <w:rsid w:val="E794344C"/>
    <w:rsid w:val="E799B6FC"/>
    <w:rsid w:val="E79B8E60"/>
    <w:rsid w:val="E7BF3EDE"/>
    <w:rsid w:val="E7C538FE"/>
    <w:rsid w:val="E7DECEE4"/>
    <w:rsid w:val="E7FEB2D1"/>
    <w:rsid w:val="E8019642"/>
    <w:rsid w:val="E804DE35"/>
    <w:rsid w:val="E8762CCD"/>
    <w:rsid w:val="E8895C64"/>
    <w:rsid w:val="E8C75233"/>
    <w:rsid w:val="E8D582AD"/>
    <w:rsid w:val="E8E95EB4"/>
    <w:rsid w:val="E9286A7D"/>
    <w:rsid w:val="E929A4BF"/>
    <w:rsid w:val="E92E047F"/>
    <w:rsid w:val="E93D8C28"/>
    <w:rsid w:val="E95E0B41"/>
    <w:rsid w:val="E9637812"/>
    <w:rsid w:val="E971E511"/>
    <w:rsid w:val="E97B27E3"/>
    <w:rsid w:val="E9867907"/>
    <w:rsid w:val="E9CD40AF"/>
    <w:rsid w:val="E9D866D1"/>
    <w:rsid w:val="E9E59EC3"/>
    <w:rsid w:val="E9F5F142"/>
    <w:rsid w:val="EA0B54A5"/>
    <w:rsid w:val="EA4E3E97"/>
    <w:rsid w:val="EA53F089"/>
    <w:rsid w:val="EA5E7EA8"/>
    <w:rsid w:val="EA7BEEF0"/>
    <w:rsid w:val="EA8B925C"/>
    <w:rsid w:val="EAA369DA"/>
    <w:rsid w:val="EAAAAC91"/>
    <w:rsid w:val="EAACA239"/>
    <w:rsid w:val="EB03E205"/>
    <w:rsid w:val="EB329606"/>
    <w:rsid w:val="EB9D321A"/>
    <w:rsid w:val="EBAFEB6B"/>
    <w:rsid w:val="EBC7D852"/>
    <w:rsid w:val="EBE2050C"/>
    <w:rsid w:val="EBE38847"/>
    <w:rsid w:val="EC02AFE1"/>
    <w:rsid w:val="EC1604A7"/>
    <w:rsid w:val="EC18C13A"/>
    <w:rsid w:val="EC341B41"/>
    <w:rsid w:val="EC429B88"/>
    <w:rsid w:val="EC4C8AA6"/>
    <w:rsid w:val="EC5CA21A"/>
    <w:rsid w:val="EC895D34"/>
    <w:rsid w:val="ECB7C89B"/>
    <w:rsid w:val="ECC25FD4"/>
    <w:rsid w:val="ECDBF862"/>
    <w:rsid w:val="ED34BCC3"/>
    <w:rsid w:val="ED3F694E"/>
    <w:rsid w:val="ED4D8F55"/>
    <w:rsid w:val="ED6D6F24"/>
    <w:rsid w:val="EDAA0470"/>
    <w:rsid w:val="EDB02C2C"/>
    <w:rsid w:val="EDC069FD"/>
    <w:rsid w:val="EDEBEBB9"/>
    <w:rsid w:val="EE0A4B00"/>
    <w:rsid w:val="EE711522"/>
    <w:rsid w:val="EE73091E"/>
    <w:rsid w:val="EE8C7A79"/>
    <w:rsid w:val="EEA22B1D"/>
    <w:rsid w:val="EED45A43"/>
    <w:rsid w:val="EF134C5B"/>
    <w:rsid w:val="EF260981"/>
    <w:rsid w:val="EF3B10E3"/>
    <w:rsid w:val="EF49D3AB"/>
    <w:rsid w:val="EF8B5E61"/>
    <w:rsid w:val="EFB16063"/>
    <w:rsid w:val="EFBC6A8B"/>
    <w:rsid w:val="EFD5F28A"/>
    <w:rsid w:val="EFD938FB"/>
    <w:rsid w:val="EFDB87C0"/>
    <w:rsid w:val="F05A1BEA"/>
    <w:rsid w:val="F0626706"/>
    <w:rsid w:val="F078819D"/>
    <w:rsid w:val="F089CC0D"/>
    <w:rsid w:val="F08AD2E7"/>
    <w:rsid w:val="F0CFB57E"/>
    <w:rsid w:val="F0D01AAA"/>
    <w:rsid w:val="F0FFCB28"/>
    <w:rsid w:val="F14CFBE6"/>
    <w:rsid w:val="F15077EA"/>
    <w:rsid w:val="F1524763"/>
    <w:rsid w:val="F16ACBE6"/>
    <w:rsid w:val="F170124B"/>
    <w:rsid w:val="F1832D16"/>
    <w:rsid w:val="F19D3427"/>
    <w:rsid w:val="F21949ED"/>
    <w:rsid w:val="F237E487"/>
    <w:rsid w:val="F240D89F"/>
    <w:rsid w:val="F2982ECD"/>
    <w:rsid w:val="F29947CD"/>
    <w:rsid w:val="F2E0997F"/>
    <w:rsid w:val="F30211DE"/>
    <w:rsid w:val="F3250529"/>
    <w:rsid w:val="F33BE6FB"/>
    <w:rsid w:val="F34272DF"/>
    <w:rsid w:val="F358DDA0"/>
    <w:rsid w:val="F35DC9A9"/>
    <w:rsid w:val="F3639EEF"/>
    <w:rsid w:val="F38C1EBE"/>
    <w:rsid w:val="F3944812"/>
    <w:rsid w:val="F3C0EDD6"/>
    <w:rsid w:val="F3CF9017"/>
    <w:rsid w:val="F3E34BB5"/>
    <w:rsid w:val="F41A7ADE"/>
    <w:rsid w:val="F42FFF31"/>
    <w:rsid w:val="F47888A8"/>
    <w:rsid w:val="F49DA72B"/>
    <w:rsid w:val="F4A66799"/>
    <w:rsid w:val="F4CE5B53"/>
    <w:rsid w:val="F516B0E3"/>
    <w:rsid w:val="F518A7F4"/>
    <w:rsid w:val="F568ACA4"/>
    <w:rsid w:val="F57AE5E4"/>
    <w:rsid w:val="F5B9A38D"/>
    <w:rsid w:val="F5C7B014"/>
    <w:rsid w:val="F5CA1D5A"/>
    <w:rsid w:val="F5D95115"/>
    <w:rsid w:val="F608856A"/>
    <w:rsid w:val="F60DE75A"/>
    <w:rsid w:val="F62191F1"/>
    <w:rsid w:val="F627091F"/>
    <w:rsid w:val="F65AB564"/>
    <w:rsid w:val="F66A70CF"/>
    <w:rsid w:val="F68B1414"/>
    <w:rsid w:val="F6C9E12B"/>
    <w:rsid w:val="F71F7929"/>
    <w:rsid w:val="F723DEB9"/>
    <w:rsid w:val="F7258756"/>
    <w:rsid w:val="F765ACC6"/>
    <w:rsid w:val="F76D025F"/>
    <w:rsid w:val="F783AC62"/>
    <w:rsid w:val="F796E7DB"/>
    <w:rsid w:val="F7AFB7AA"/>
    <w:rsid w:val="F7F46BBA"/>
    <w:rsid w:val="F825480F"/>
    <w:rsid w:val="F82BD313"/>
    <w:rsid w:val="F83135B0"/>
    <w:rsid w:val="F835998B"/>
    <w:rsid w:val="F863655B"/>
    <w:rsid w:val="F874B59B"/>
    <w:rsid w:val="F88EDFA6"/>
    <w:rsid w:val="F898208A"/>
    <w:rsid w:val="F8CAFCD9"/>
    <w:rsid w:val="F92D6EDD"/>
    <w:rsid w:val="F94B1A59"/>
    <w:rsid w:val="F952FD97"/>
    <w:rsid w:val="F962F931"/>
    <w:rsid w:val="F970E409"/>
    <w:rsid w:val="F98FFB98"/>
    <w:rsid w:val="F990E683"/>
    <w:rsid w:val="F9A176F3"/>
    <w:rsid w:val="F9A19B73"/>
    <w:rsid w:val="F9DB54AF"/>
    <w:rsid w:val="F9DC1675"/>
    <w:rsid w:val="FA3325BA"/>
    <w:rsid w:val="FA3B1552"/>
    <w:rsid w:val="FA695EF0"/>
    <w:rsid w:val="FA7CC2F9"/>
    <w:rsid w:val="FA902FA0"/>
    <w:rsid w:val="FA91F5F0"/>
    <w:rsid w:val="FABF3EEB"/>
    <w:rsid w:val="FACDC3D4"/>
    <w:rsid w:val="FAE4FBB5"/>
    <w:rsid w:val="FAE91886"/>
    <w:rsid w:val="FAF47623"/>
    <w:rsid w:val="FB0E3F4D"/>
    <w:rsid w:val="FB1D48FE"/>
    <w:rsid w:val="FB202819"/>
    <w:rsid w:val="FBAA0062"/>
    <w:rsid w:val="FC015777"/>
    <w:rsid w:val="FC2044FD"/>
    <w:rsid w:val="FC2784DF"/>
    <w:rsid w:val="FC436B90"/>
    <w:rsid w:val="FC8C5F46"/>
    <w:rsid w:val="FCFB6E8B"/>
    <w:rsid w:val="FD10D773"/>
    <w:rsid w:val="FD2E5380"/>
    <w:rsid w:val="FD400A1D"/>
    <w:rsid w:val="FD7579A1"/>
    <w:rsid w:val="FD84F958"/>
    <w:rsid w:val="FD8B6BCE"/>
    <w:rsid w:val="FD95D8FF"/>
    <w:rsid w:val="FDF7EE86"/>
    <w:rsid w:val="FDFC20CA"/>
    <w:rsid w:val="FE02AB28"/>
    <w:rsid w:val="FE237C88"/>
    <w:rsid w:val="FE42D5AE"/>
    <w:rsid w:val="FE44CA8E"/>
    <w:rsid w:val="FE4B03E9"/>
    <w:rsid w:val="FE542715"/>
    <w:rsid w:val="FEB1431F"/>
    <w:rsid w:val="FEF101EB"/>
    <w:rsid w:val="FF0DD6E4"/>
    <w:rsid w:val="FF3F94B9"/>
    <w:rsid w:val="FF42C880"/>
    <w:rsid w:val="FF5D1C88"/>
    <w:rsid w:val="FF62075A"/>
    <w:rsid w:val="FF6866F7"/>
    <w:rsid w:val="FFAD3E13"/>
    <w:rsid w:val="FFBE09AB"/>
    <w:rsid w:val="FFD5081E"/>
    <w:rsid w:val="FFFC87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qFormat/>
    <w:uiPriority w:val="0"/>
    <w:pPr>
      <w:keepNext/>
      <w:keepLines/>
      <w:jc w:val="center"/>
      <w:outlineLvl w:val="0"/>
    </w:pPr>
    <w:rPr>
      <w:rFonts w:eastAsia="方正黑体_GBK"/>
      <w:b/>
      <w:kern w:val="44"/>
      <w:szCs w:val="44"/>
    </w:rPr>
  </w:style>
  <w:style w:type="character" w:default="1" w:styleId="7">
    <w:name w:val="Default Paragraph Font"/>
    <w:qFormat/>
    <w:uiPriority w:val="0"/>
    <w:rPr>
      <w:rFonts w:ascii="Calibri" w:hAnsi="Calibri" w:eastAsia="宋体" w:cs="宋体"/>
    </w:rPr>
  </w:style>
  <w:style w:type="table" w:default="1" w:styleId="6">
    <w:name w:val="Normal Table"/>
    <w:qFormat/>
    <w:uiPriority w:val="0"/>
    <w:rPr>
      <w:rFonts w:cs="宋体"/>
    </w:rPr>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Calibri" w:hAnsi="Calibri" w:eastAsia="宋体" w:cs="宋体"/>
      <w:kern w:val="2"/>
      <w:sz w:val="18"/>
      <w:szCs w:val="18"/>
    </w:rPr>
  </w:style>
  <w:style w:type="character" w:customStyle="1" w:styleId="9">
    <w:name w:val="页脚 Char"/>
    <w:basedOn w:val="7"/>
    <w:link w:val="4"/>
    <w:qFormat/>
    <w:uiPriority w:val="99"/>
    <w:rPr>
      <w:rFonts w:ascii="Calibri" w:hAnsi="Calibri" w:eastAsia="宋体" w:cs="宋体"/>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1129</Words>
  <Characters>6441</Characters>
  <Lines>53</Lines>
  <Paragraphs>15</Paragraphs>
  <TotalTime>1</TotalTime>
  <ScaleCrop>false</ScaleCrop>
  <LinksUpToDate>false</LinksUpToDate>
  <CharactersWithSpaces>7555</CharactersWithSpaces>
  <Application>WPS Office_11.8.2.9022_F1E327BC-269C-435d-A152-05C5408002CA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2022-02-03T02:54:00Z</dcterms:created>
  <dc:creator>320979@qq.com</dc:creator>
  <cp:lastModifiedBy>李翔</cp:lastModifiedBy>
  <cp:lastPrinted>2022-02-18T06:49:00Z</cp:lastPrinted>
  <dcterms:modified xsi:type="dcterms:W3CDTF">2022-02-23T09:36:23Z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